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600F3" w:rsidRDefault="00B600F3"/>
    <w:p w14:paraId="00000002" w14:textId="77777777" w:rsidR="00B600F3" w:rsidRDefault="003C169B">
      <w:pPr>
        <w:pStyle w:val="Title"/>
        <w:spacing w:before="60" w:after="60"/>
        <w:rPr>
          <w:color w:val="3B66BC"/>
          <w:sz w:val="48"/>
          <w:szCs w:val="48"/>
        </w:rPr>
      </w:pPr>
      <w:r>
        <w:rPr>
          <w:color w:val="3B66BC"/>
          <w:sz w:val="48"/>
          <w:szCs w:val="48"/>
        </w:rPr>
        <w:t>Open call for best practice case studies: Teaching &amp; Learning in the time of COVID</w:t>
      </w:r>
    </w:p>
    <w:p w14:paraId="00000003" w14:textId="77777777" w:rsidR="00B600F3" w:rsidRDefault="003C169B">
      <w:pPr>
        <w:spacing w:before="60" w:after="120"/>
        <w:rPr>
          <w:sz w:val="24"/>
          <w:szCs w:val="24"/>
        </w:rPr>
      </w:pPr>
      <w:r>
        <w:rPr>
          <w:sz w:val="24"/>
          <w:szCs w:val="24"/>
        </w:rPr>
        <w:t xml:space="preserve">June 2021 </w:t>
      </w:r>
    </w:p>
    <w:p w14:paraId="00000004" w14:textId="77777777" w:rsidR="00B600F3" w:rsidRDefault="00B600F3">
      <w:pPr>
        <w:spacing w:before="60" w:after="120"/>
        <w:rPr>
          <w:sz w:val="24"/>
          <w:szCs w:val="24"/>
        </w:rPr>
      </w:pPr>
    </w:p>
    <w:p w14:paraId="00000005" w14:textId="77777777" w:rsidR="00B600F3" w:rsidRDefault="003C169B">
      <w:pPr>
        <w:spacing w:before="60" w:after="100" w:line="264" w:lineRule="auto"/>
        <w:ind w:right="96"/>
        <w:rPr>
          <w:b/>
          <w:color w:val="3B66BC"/>
          <w:sz w:val="24"/>
          <w:szCs w:val="24"/>
        </w:rPr>
      </w:pPr>
      <w:r>
        <w:rPr>
          <w:b/>
          <w:color w:val="3B66BC"/>
          <w:sz w:val="24"/>
          <w:szCs w:val="24"/>
        </w:rPr>
        <w:t>Introduction to TASO</w:t>
      </w:r>
    </w:p>
    <w:p w14:paraId="00000006" w14:textId="77777777" w:rsidR="00B600F3" w:rsidRDefault="003C169B">
      <w:pPr>
        <w:rPr>
          <w:sz w:val="24"/>
          <w:szCs w:val="24"/>
        </w:rPr>
      </w:pPr>
      <w:r>
        <w:rPr>
          <w:sz w:val="24"/>
          <w:szCs w:val="24"/>
        </w:rPr>
        <w:t xml:space="preserve">The Centre for Transforming Access and Student Outcomes in Higher Education (TASO) aims to improve lives through evidence-based practice in higher education (HE). Our vision is to eliminate equality gaps for disadvantaged and underrepresented groups, allowing all students to have the same chance to enter HE, get a good degree and progress into further study or employment. TASO was set up in 2019, by a consortium of King’s College London, Nottingham Trent University and the Behavioural Insights Team. </w:t>
      </w:r>
    </w:p>
    <w:p w14:paraId="00000007" w14:textId="77777777" w:rsidR="00B600F3" w:rsidRDefault="003C169B">
      <w:pPr>
        <w:rPr>
          <w:color w:val="0E101A"/>
          <w:sz w:val="24"/>
          <w:szCs w:val="24"/>
        </w:rPr>
      </w:pPr>
      <w:r>
        <w:rPr>
          <w:sz w:val="24"/>
          <w:szCs w:val="24"/>
        </w:rPr>
        <w:br/>
      </w:r>
      <w:r>
        <w:rPr>
          <w:color w:val="0E101A"/>
          <w:sz w:val="24"/>
          <w:szCs w:val="24"/>
        </w:rPr>
        <w:t xml:space="preserve">We are an independent hub for HE professionals to access research, toolkits and evaluation guidance to eliminate equality gaps. We inform practitioners of the best available evidence and produce new evidence on the most effective approaches. TASO is an affiliate ‘What Works’ centre and is part of the </w:t>
      </w:r>
      <w:hyperlink r:id="rId8">
        <w:r>
          <w:rPr>
            <w:color w:val="0563C1"/>
            <w:sz w:val="24"/>
            <w:szCs w:val="24"/>
            <w:u w:val="single"/>
          </w:rPr>
          <w:t xml:space="preserve">UK Government’s What Works Movement. </w:t>
        </w:r>
      </w:hyperlink>
      <w:r>
        <w:rPr>
          <w:color w:val="0E101A"/>
          <w:sz w:val="24"/>
          <w:szCs w:val="24"/>
        </w:rPr>
        <w:t xml:space="preserve">This means that TASO is committed to the generation, synthesis and dissemination of high-quality evidence about effective practice in widening participation and student success. Our role is to help the sector produce more </w:t>
      </w:r>
      <w:hyperlink r:id="rId9">
        <w:r>
          <w:rPr>
            <w:color w:val="0563C1"/>
            <w:sz w:val="24"/>
            <w:szCs w:val="24"/>
            <w:u w:val="single"/>
          </w:rPr>
          <w:t>Type 3 evidence</w:t>
        </w:r>
      </w:hyperlink>
      <w:r>
        <w:rPr>
          <w:color w:val="0E101A"/>
          <w:sz w:val="24"/>
          <w:szCs w:val="24"/>
        </w:rPr>
        <w:t xml:space="preserve"> as this provides us with the best possible understanding of which activities and approaches are most effective.</w:t>
      </w:r>
    </w:p>
    <w:p w14:paraId="00000008" w14:textId="77777777" w:rsidR="00B600F3" w:rsidRDefault="00B600F3">
      <w:pPr>
        <w:rPr>
          <w:color w:val="0E101A"/>
        </w:rPr>
      </w:pPr>
    </w:p>
    <w:p w14:paraId="00000009" w14:textId="77777777" w:rsidR="00B600F3" w:rsidRDefault="003C169B">
      <w:pPr>
        <w:spacing w:before="60" w:after="100" w:line="264" w:lineRule="auto"/>
        <w:ind w:right="96"/>
        <w:rPr>
          <w:sz w:val="24"/>
          <w:szCs w:val="24"/>
        </w:rPr>
      </w:pPr>
      <w:r>
        <w:rPr>
          <w:b/>
          <w:color w:val="3B66BC"/>
          <w:sz w:val="24"/>
          <w:szCs w:val="24"/>
        </w:rPr>
        <w:t>Background</w:t>
      </w:r>
    </w:p>
    <w:p w14:paraId="0000000A" w14:textId="77777777" w:rsidR="00B600F3" w:rsidRDefault="003C169B">
      <w:pPr>
        <w:spacing w:before="60" w:line="264" w:lineRule="auto"/>
        <w:ind w:right="96"/>
        <w:jc w:val="both"/>
        <w:rPr>
          <w:sz w:val="24"/>
          <w:szCs w:val="24"/>
        </w:rPr>
      </w:pPr>
      <w:r>
        <w:rPr>
          <w:sz w:val="24"/>
          <w:szCs w:val="24"/>
        </w:rPr>
        <w:t>Education in the UK has been severely disrupted by the COVID-19 pandemic. When the pandemic hit in March 2020, HE providers were forced to deliver their content online with minimal time to prepare. This academic year, HE providers have had more time to plan for a blended approach to teaching, including both online and face-to-face elements. Due to this planning time, there is likely more variation across faculties and providers than there was during the immediate response to the pandemic, providing an opportunity to investigate how different teaching methods has affected the educational attainment of disadvantaged learners.</w:t>
      </w:r>
    </w:p>
    <w:p w14:paraId="0000000B" w14:textId="77777777" w:rsidR="00B600F3" w:rsidRDefault="00B600F3">
      <w:pPr>
        <w:spacing w:before="60" w:line="264" w:lineRule="auto"/>
        <w:ind w:right="96"/>
        <w:jc w:val="both"/>
        <w:rPr>
          <w:sz w:val="24"/>
          <w:szCs w:val="24"/>
        </w:rPr>
      </w:pPr>
    </w:p>
    <w:p w14:paraId="4F7033BE" w14:textId="77777777" w:rsidR="00DA539C" w:rsidRDefault="003C169B">
      <w:pPr>
        <w:spacing w:before="60" w:line="264" w:lineRule="auto"/>
        <w:ind w:right="96"/>
        <w:jc w:val="both"/>
        <w:rPr>
          <w:sz w:val="24"/>
          <w:szCs w:val="24"/>
        </w:rPr>
      </w:pPr>
      <w:r>
        <w:rPr>
          <w:sz w:val="24"/>
          <w:szCs w:val="24"/>
        </w:rPr>
        <w:t>Higher Education Providers (HEPs) have indicated a range of differing views on how the pandemic has impacted the awarding gap that already exists between disadvantaged learners and their peers. Some HEPs hold the view that moving to online teaching and learning has benefited disadvantaged learners, while others</w:t>
      </w:r>
    </w:p>
    <w:p w14:paraId="474D57D5" w14:textId="77777777" w:rsidR="00DA539C" w:rsidRDefault="00DA539C" w:rsidP="00DA539C">
      <w:pPr>
        <w:spacing w:before="60" w:line="264" w:lineRule="auto"/>
        <w:ind w:right="96"/>
        <w:rPr>
          <w:sz w:val="24"/>
          <w:szCs w:val="24"/>
        </w:rPr>
      </w:pPr>
    </w:p>
    <w:p w14:paraId="00E6F93C" w14:textId="2226D886" w:rsidR="00DA539C" w:rsidRDefault="003C169B" w:rsidP="00DA539C">
      <w:pPr>
        <w:spacing w:before="60" w:line="264" w:lineRule="auto"/>
        <w:ind w:right="96"/>
        <w:rPr>
          <w:sz w:val="24"/>
          <w:szCs w:val="24"/>
        </w:rPr>
      </w:pPr>
      <w:r>
        <w:rPr>
          <w:sz w:val="24"/>
          <w:szCs w:val="24"/>
        </w:rPr>
        <w:t>indicate that the switch to online learning may widen the existing awarding gap.</w:t>
      </w:r>
    </w:p>
    <w:p w14:paraId="0000000C" w14:textId="5E4BEF43" w:rsidR="00B600F3" w:rsidRDefault="003C169B" w:rsidP="00DA539C">
      <w:pPr>
        <w:spacing w:before="60" w:line="264" w:lineRule="auto"/>
        <w:ind w:right="96"/>
        <w:rPr>
          <w:sz w:val="24"/>
          <w:szCs w:val="24"/>
        </w:rPr>
      </w:pPr>
      <w:r>
        <w:rPr>
          <w:sz w:val="24"/>
          <w:szCs w:val="24"/>
        </w:rPr>
        <w:t xml:space="preserve">TASO is conducting a research project, using existing secondary data from HE providers, to investigate the impact of pandemic on disadvantaged learners and the current awarding gap. </w:t>
      </w:r>
    </w:p>
    <w:p w14:paraId="0000000D" w14:textId="77777777" w:rsidR="00B600F3" w:rsidRDefault="00B600F3">
      <w:pPr>
        <w:spacing w:before="60" w:line="264" w:lineRule="auto"/>
        <w:ind w:right="96"/>
        <w:jc w:val="both"/>
        <w:rPr>
          <w:sz w:val="24"/>
          <w:szCs w:val="24"/>
        </w:rPr>
      </w:pPr>
    </w:p>
    <w:p w14:paraId="0000000E" w14:textId="77777777" w:rsidR="00B600F3" w:rsidRDefault="003C169B">
      <w:pPr>
        <w:spacing w:before="60" w:line="264" w:lineRule="auto"/>
        <w:ind w:right="96"/>
        <w:jc w:val="both"/>
        <w:rPr>
          <w:sz w:val="24"/>
          <w:szCs w:val="24"/>
        </w:rPr>
      </w:pPr>
      <w:r>
        <w:rPr>
          <w:sz w:val="24"/>
          <w:szCs w:val="24"/>
        </w:rPr>
        <w:t>The project has two overall aims:</w:t>
      </w:r>
    </w:p>
    <w:p w14:paraId="0000000F" w14:textId="77777777" w:rsidR="00B600F3" w:rsidRDefault="003C169B">
      <w:pPr>
        <w:numPr>
          <w:ilvl w:val="0"/>
          <w:numId w:val="3"/>
        </w:numPr>
        <w:spacing w:before="60" w:line="264" w:lineRule="auto"/>
        <w:ind w:right="96"/>
        <w:jc w:val="both"/>
        <w:rPr>
          <w:sz w:val="24"/>
          <w:szCs w:val="24"/>
        </w:rPr>
      </w:pPr>
      <w:r>
        <w:rPr>
          <w:sz w:val="24"/>
          <w:szCs w:val="24"/>
        </w:rPr>
        <w:t xml:space="preserve">To improve our understanding of how the COVID-19 pandemic has affected the awarding gap between disadvantaged learners and their peers. </w:t>
      </w:r>
    </w:p>
    <w:p w14:paraId="00000010" w14:textId="77777777" w:rsidR="00B600F3" w:rsidRDefault="003C169B">
      <w:pPr>
        <w:numPr>
          <w:ilvl w:val="0"/>
          <w:numId w:val="3"/>
        </w:numPr>
        <w:spacing w:line="264" w:lineRule="auto"/>
        <w:ind w:right="96"/>
        <w:jc w:val="both"/>
        <w:rPr>
          <w:sz w:val="24"/>
          <w:szCs w:val="24"/>
        </w:rPr>
      </w:pPr>
      <w:r>
        <w:rPr>
          <w:sz w:val="24"/>
          <w:szCs w:val="24"/>
        </w:rPr>
        <w:t xml:space="preserve">To establish the best way of structuring HE courses in order to minimise equality gaps. </w:t>
      </w:r>
    </w:p>
    <w:p w14:paraId="00000011" w14:textId="77777777" w:rsidR="00B600F3" w:rsidRDefault="00B600F3">
      <w:pPr>
        <w:spacing w:before="60" w:line="264" w:lineRule="auto"/>
        <w:ind w:right="96"/>
        <w:jc w:val="both"/>
        <w:rPr>
          <w:sz w:val="24"/>
          <w:szCs w:val="24"/>
        </w:rPr>
      </w:pPr>
    </w:p>
    <w:p w14:paraId="00000012" w14:textId="77777777" w:rsidR="00B600F3" w:rsidRDefault="003C169B">
      <w:pPr>
        <w:spacing w:before="60" w:line="264" w:lineRule="auto"/>
        <w:ind w:right="96"/>
        <w:jc w:val="both"/>
        <w:rPr>
          <w:sz w:val="24"/>
          <w:szCs w:val="24"/>
        </w:rPr>
      </w:pPr>
      <w:r>
        <w:rPr>
          <w:sz w:val="24"/>
          <w:szCs w:val="24"/>
        </w:rPr>
        <w:t xml:space="preserve">To achieve these aims, the project will involve three main components: a rapid evidence </w:t>
      </w:r>
      <w:proofErr w:type="gramStart"/>
      <w:r>
        <w:rPr>
          <w:sz w:val="24"/>
          <w:szCs w:val="24"/>
        </w:rPr>
        <w:t>review</w:t>
      </w:r>
      <w:proofErr w:type="gramEnd"/>
      <w:r>
        <w:rPr>
          <w:sz w:val="24"/>
          <w:szCs w:val="24"/>
        </w:rPr>
        <w:t xml:space="preserve">; descriptive statistical analysis of course data provided by HEPs; and examples of evaluation best practice from across the sector - as illustrated in Figure 1 below. This open call is an invitation for HEPs to submit examples of evaluation best practice from across the sector. We are seeking submissions from providers and departments that have conducted high-quality evaluation on how the pandemic, and switch to online teaching and learning, has impacted disadvantaged learners. </w:t>
      </w:r>
    </w:p>
    <w:p w14:paraId="00000013" w14:textId="77777777" w:rsidR="00B600F3" w:rsidRDefault="003C169B">
      <w:pPr>
        <w:spacing w:before="60" w:line="264" w:lineRule="auto"/>
        <w:ind w:right="96"/>
        <w:jc w:val="both"/>
        <w:rPr>
          <w:sz w:val="24"/>
          <w:szCs w:val="24"/>
        </w:rPr>
      </w:pPr>
      <w:r>
        <w:rPr>
          <w:noProof/>
          <w:sz w:val="24"/>
          <w:szCs w:val="24"/>
        </w:rPr>
        <w:drawing>
          <wp:inline distT="114300" distB="114300" distL="114300" distR="114300">
            <wp:extent cx="5731200" cy="2870200"/>
            <wp:effectExtent l="0" t="0" r="0" b="0"/>
            <wp:docPr id="2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731200" cy="2870200"/>
                    </a:xfrm>
                    <a:prstGeom prst="rect">
                      <a:avLst/>
                    </a:prstGeom>
                    <a:ln/>
                  </pic:spPr>
                </pic:pic>
              </a:graphicData>
            </a:graphic>
          </wp:inline>
        </w:drawing>
      </w:r>
    </w:p>
    <w:p w14:paraId="00000014" w14:textId="77777777" w:rsidR="00B600F3" w:rsidRDefault="003C169B">
      <w:pPr>
        <w:spacing w:before="60" w:line="264" w:lineRule="auto"/>
        <w:ind w:right="96"/>
        <w:jc w:val="both"/>
        <w:rPr>
          <w:sz w:val="24"/>
          <w:szCs w:val="24"/>
        </w:rPr>
      </w:pPr>
      <w:r>
        <w:rPr>
          <w:sz w:val="24"/>
          <w:szCs w:val="24"/>
        </w:rPr>
        <w:t xml:space="preserve">Figure 1: Online T&amp;L project components. </w:t>
      </w:r>
    </w:p>
    <w:p w14:paraId="7CC3BA03" w14:textId="77777777" w:rsidR="000A4DC4" w:rsidRDefault="000A4DC4">
      <w:pPr>
        <w:spacing w:before="60" w:after="100" w:line="264" w:lineRule="auto"/>
        <w:ind w:right="96"/>
        <w:rPr>
          <w:b/>
          <w:color w:val="3B66BC"/>
        </w:rPr>
      </w:pPr>
    </w:p>
    <w:p w14:paraId="00000016" w14:textId="6E34DB08" w:rsidR="00B600F3" w:rsidRDefault="003C169B">
      <w:pPr>
        <w:spacing w:before="60" w:after="100" w:line="264" w:lineRule="auto"/>
        <w:ind w:right="96"/>
        <w:rPr>
          <w:sz w:val="24"/>
          <w:szCs w:val="24"/>
        </w:rPr>
      </w:pPr>
      <w:r>
        <w:rPr>
          <w:b/>
          <w:color w:val="3B66BC"/>
          <w:sz w:val="24"/>
          <w:szCs w:val="24"/>
        </w:rPr>
        <w:t xml:space="preserve">Scope of the best practice submissions </w:t>
      </w:r>
    </w:p>
    <w:p w14:paraId="00000017" w14:textId="77777777" w:rsidR="00B600F3" w:rsidRDefault="003C169B">
      <w:pPr>
        <w:spacing w:before="60" w:line="264" w:lineRule="auto"/>
        <w:ind w:right="96"/>
        <w:jc w:val="both"/>
        <w:rPr>
          <w:sz w:val="24"/>
          <w:szCs w:val="24"/>
        </w:rPr>
      </w:pPr>
      <w:r>
        <w:rPr>
          <w:sz w:val="24"/>
          <w:szCs w:val="24"/>
        </w:rPr>
        <w:t>We welcome examples of local evaluations that adhere to the following criteria:</w:t>
      </w:r>
    </w:p>
    <w:p w14:paraId="00000018" w14:textId="77777777" w:rsidR="00B600F3" w:rsidRDefault="003C169B">
      <w:pPr>
        <w:numPr>
          <w:ilvl w:val="0"/>
          <w:numId w:val="1"/>
        </w:numPr>
        <w:spacing w:before="60" w:line="264" w:lineRule="auto"/>
        <w:ind w:right="96"/>
        <w:jc w:val="both"/>
        <w:rPr>
          <w:sz w:val="24"/>
          <w:szCs w:val="24"/>
        </w:rPr>
      </w:pPr>
      <w:r>
        <w:rPr>
          <w:sz w:val="24"/>
          <w:szCs w:val="24"/>
        </w:rPr>
        <w:t xml:space="preserve">The evaluation has taken place since the start of the pandemic, March 2020, and is focussed on understanding the impact of the pandemic, and the switch to online teaching and learning, on student experience and success. </w:t>
      </w:r>
    </w:p>
    <w:p w14:paraId="229DF490" w14:textId="77777777" w:rsidR="00B63B28" w:rsidRDefault="003C169B">
      <w:pPr>
        <w:numPr>
          <w:ilvl w:val="0"/>
          <w:numId w:val="1"/>
        </w:numPr>
        <w:spacing w:line="264" w:lineRule="auto"/>
        <w:ind w:right="96"/>
        <w:jc w:val="both"/>
        <w:rPr>
          <w:sz w:val="24"/>
          <w:szCs w:val="24"/>
        </w:rPr>
      </w:pPr>
      <w:r>
        <w:rPr>
          <w:sz w:val="24"/>
          <w:szCs w:val="24"/>
        </w:rPr>
        <w:t xml:space="preserve">The evaluation is focused on understanding the experience of disadvantaged learners, and learners from Black, Asian and minority ethnic groups, and how </w:t>
      </w:r>
    </w:p>
    <w:p w14:paraId="669BDBAC" w14:textId="77777777" w:rsidR="00B63B28" w:rsidRDefault="00B63B28" w:rsidP="00B63B28">
      <w:pPr>
        <w:spacing w:line="264" w:lineRule="auto"/>
        <w:ind w:left="720" w:right="96"/>
        <w:rPr>
          <w:sz w:val="24"/>
          <w:szCs w:val="24"/>
        </w:rPr>
      </w:pPr>
    </w:p>
    <w:p w14:paraId="00000019" w14:textId="20BBFB13" w:rsidR="00B600F3" w:rsidRDefault="003C169B" w:rsidP="00B63B28">
      <w:pPr>
        <w:spacing w:line="264" w:lineRule="auto"/>
        <w:ind w:left="720" w:right="96"/>
        <w:rPr>
          <w:sz w:val="24"/>
          <w:szCs w:val="24"/>
        </w:rPr>
      </w:pPr>
      <w:r>
        <w:rPr>
          <w:sz w:val="24"/>
          <w:szCs w:val="24"/>
        </w:rPr>
        <w:t xml:space="preserve">they have been impacted by the pandemic and moving to online teaching and learning, especially when compared to their more advantaged peers. </w:t>
      </w:r>
    </w:p>
    <w:p w14:paraId="0000001A" w14:textId="77777777" w:rsidR="00B600F3" w:rsidRDefault="003C169B">
      <w:pPr>
        <w:numPr>
          <w:ilvl w:val="0"/>
          <w:numId w:val="1"/>
        </w:numPr>
        <w:spacing w:line="264" w:lineRule="auto"/>
        <w:ind w:right="96"/>
        <w:jc w:val="both"/>
        <w:rPr>
          <w:sz w:val="24"/>
          <w:szCs w:val="24"/>
        </w:rPr>
      </w:pPr>
      <w:r>
        <w:rPr>
          <w:sz w:val="24"/>
          <w:szCs w:val="24"/>
        </w:rPr>
        <w:t xml:space="preserve">The evaluation focuses on how learners’ attainment and progression has been impacted. </w:t>
      </w:r>
    </w:p>
    <w:p w14:paraId="0000001B" w14:textId="77777777" w:rsidR="00B600F3" w:rsidRDefault="00B600F3">
      <w:pPr>
        <w:spacing w:before="60" w:line="264" w:lineRule="auto"/>
        <w:ind w:left="720" w:right="96"/>
        <w:jc w:val="both"/>
        <w:rPr>
          <w:sz w:val="24"/>
          <w:szCs w:val="24"/>
        </w:rPr>
      </w:pPr>
    </w:p>
    <w:p w14:paraId="0000001C" w14:textId="77777777" w:rsidR="00B600F3" w:rsidRDefault="003C169B">
      <w:pPr>
        <w:spacing w:before="60" w:line="264" w:lineRule="auto"/>
        <w:ind w:right="96"/>
        <w:jc w:val="both"/>
        <w:rPr>
          <w:sz w:val="24"/>
          <w:szCs w:val="24"/>
        </w:rPr>
      </w:pPr>
      <w:r>
        <w:rPr>
          <w:sz w:val="24"/>
          <w:szCs w:val="24"/>
        </w:rPr>
        <w:t xml:space="preserve">We are also particularly interested to hear about examples that have put the student voice at the forefront of the evaluation. </w:t>
      </w:r>
    </w:p>
    <w:p w14:paraId="0000001D" w14:textId="77777777" w:rsidR="00B600F3" w:rsidRDefault="00B600F3">
      <w:pPr>
        <w:spacing w:before="60" w:line="264" w:lineRule="auto"/>
        <w:ind w:right="96"/>
        <w:jc w:val="both"/>
        <w:rPr>
          <w:sz w:val="24"/>
          <w:szCs w:val="24"/>
        </w:rPr>
      </w:pPr>
    </w:p>
    <w:p w14:paraId="0000001E" w14:textId="77777777" w:rsidR="00B600F3" w:rsidRDefault="003C169B">
      <w:pPr>
        <w:spacing w:before="60" w:line="264" w:lineRule="auto"/>
        <w:ind w:right="96"/>
        <w:jc w:val="both"/>
        <w:rPr>
          <w:sz w:val="24"/>
          <w:szCs w:val="24"/>
        </w:rPr>
      </w:pPr>
      <w:r>
        <w:rPr>
          <w:sz w:val="24"/>
          <w:szCs w:val="24"/>
        </w:rPr>
        <w:t>TASO will be screening all submissions and selecting examples that meet the criteria outlined in the ‘screening of best practice submission’ section below. The examples that pass our screening process will be included in the project outputs - the roundtable and final report illustrated in Figure. In addition, a small sample of best practice examples will be invited to present their evaluation approach and findings at the roundtable event, due be held in summer 2021.</w:t>
      </w:r>
    </w:p>
    <w:p w14:paraId="0000001F" w14:textId="77777777" w:rsidR="00B600F3" w:rsidRDefault="00B600F3">
      <w:pPr>
        <w:rPr>
          <w:color w:val="000000"/>
          <w:sz w:val="24"/>
          <w:szCs w:val="24"/>
        </w:rPr>
      </w:pPr>
    </w:p>
    <w:p w14:paraId="00000020" w14:textId="77777777" w:rsidR="00B600F3" w:rsidRDefault="003C169B">
      <w:pPr>
        <w:spacing w:line="240" w:lineRule="auto"/>
        <w:rPr>
          <w:color w:val="000000"/>
          <w:sz w:val="24"/>
          <w:szCs w:val="24"/>
        </w:rPr>
      </w:pPr>
      <w:r>
        <w:rPr>
          <w:b/>
          <w:color w:val="3B66BC"/>
          <w:sz w:val="24"/>
          <w:szCs w:val="24"/>
        </w:rPr>
        <w:t>Timeline</w:t>
      </w:r>
    </w:p>
    <w:p w14:paraId="00000021" w14:textId="77777777" w:rsidR="00B600F3" w:rsidRDefault="003C169B">
      <w:pPr>
        <w:rPr>
          <w:color w:val="000000"/>
          <w:sz w:val="24"/>
          <w:szCs w:val="24"/>
        </w:rPr>
      </w:pPr>
      <w:r>
        <w:rPr>
          <w:sz w:val="24"/>
          <w:szCs w:val="24"/>
        </w:rPr>
        <w:t>Using the template below, p</w:t>
      </w:r>
      <w:r>
        <w:rPr>
          <w:color w:val="000000"/>
          <w:sz w:val="24"/>
          <w:szCs w:val="24"/>
        </w:rPr>
        <w:t xml:space="preserve">lease submit your </w:t>
      </w:r>
      <w:r>
        <w:rPr>
          <w:sz w:val="24"/>
          <w:szCs w:val="24"/>
        </w:rPr>
        <w:t>examples</w:t>
      </w:r>
      <w:r>
        <w:rPr>
          <w:color w:val="000000"/>
          <w:sz w:val="24"/>
          <w:szCs w:val="24"/>
        </w:rPr>
        <w:t xml:space="preserve"> of </w:t>
      </w:r>
      <w:r>
        <w:rPr>
          <w:sz w:val="24"/>
          <w:szCs w:val="24"/>
        </w:rPr>
        <w:t>evaluation best practice using the online web form by</w:t>
      </w:r>
      <w:r>
        <w:rPr>
          <w:color w:val="000000"/>
          <w:sz w:val="24"/>
          <w:szCs w:val="24"/>
        </w:rPr>
        <w:t xml:space="preserve"> </w:t>
      </w:r>
      <w:r>
        <w:rPr>
          <w:b/>
          <w:sz w:val="24"/>
          <w:szCs w:val="24"/>
        </w:rPr>
        <w:t>5p</w:t>
      </w:r>
      <w:r>
        <w:rPr>
          <w:b/>
          <w:color w:val="000000"/>
          <w:sz w:val="24"/>
          <w:szCs w:val="24"/>
        </w:rPr>
        <w:t xml:space="preserve">m on </w:t>
      </w:r>
      <w:r>
        <w:rPr>
          <w:b/>
          <w:sz w:val="24"/>
          <w:szCs w:val="24"/>
        </w:rPr>
        <w:t>Friday July</w:t>
      </w:r>
      <w:r>
        <w:rPr>
          <w:b/>
          <w:color w:val="000000"/>
          <w:sz w:val="24"/>
          <w:szCs w:val="24"/>
        </w:rPr>
        <w:t xml:space="preserve"> </w:t>
      </w:r>
      <w:r>
        <w:rPr>
          <w:b/>
          <w:sz w:val="24"/>
          <w:szCs w:val="24"/>
        </w:rPr>
        <w:t>9</w:t>
      </w:r>
      <w:r>
        <w:rPr>
          <w:b/>
          <w:color w:val="000000"/>
          <w:sz w:val="24"/>
          <w:szCs w:val="24"/>
          <w:vertAlign w:val="superscript"/>
        </w:rPr>
        <w:t>th</w:t>
      </w:r>
      <w:r>
        <w:rPr>
          <w:b/>
          <w:color w:val="000000"/>
          <w:sz w:val="24"/>
          <w:szCs w:val="24"/>
        </w:rPr>
        <w:t>, 2021</w:t>
      </w:r>
      <w:r>
        <w:rPr>
          <w:color w:val="000000"/>
          <w:sz w:val="24"/>
          <w:szCs w:val="24"/>
        </w:rPr>
        <w:t xml:space="preserve">. If you have any questions regarding the </w:t>
      </w:r>
      <w:r>
        <w:rPr>
          <w:sz w:val="24"/>
          <w:szCs w:val="24"/>
        </w:rPr>
        <w:t>open call</w:t>
      </w:r>
      <w:r>
        <w:rPr>
          <w:color w:val="000000"/>
          <w:sz w:val="24"/>
          <w:szCs w:val="24"/>
        </w:rPr>
        <w:t xml:space="preserve">, please get in touch and we can arrange an informal conversation. </w:t>
      </w:r>
    </w:p>
    <w:p w14:paraId="00000022" w14:textId="77777777" w:rsidR="00B600F3" w:rsidRDefault="00B600F3">
      <w:pPr>
        <w:rPr>
          <w:color w:val="000000"/>
          <w:sz w:val="24"/>
          <w:szCs w:val="24"/>
        </w:rPr>
      </w:pPr>
    </w:p>
    <w:p w14:paraId="00000023" w14:textId="77777777" w:rsidR="00B600F3" w:rsidRDefault="003C169B">
      <w:pPr>
        <w:rPr>
          <w:sz w:val="24"/>
          <w:szCs w:val="24"/>
        </w:rPr>
      </w:pPr>
      <w:r>
        <w:rPr>
          <w:color w:val="000000"/>
          <w:sz w:val="24"/>
          <w:szCs w:val="24"/>
        </w:rPr>
        <w:t xml:space="preserve">You will be informed of the outcome of your </w:t>
      </w:r>
      <w:r>
        <w:rPr>
          <w:sz w:val="24"/>
          <w:szCs w:val="24"/>
        </w:rPr>
        <w:t>submission</w:t>
      </w:r>
      <w:r>
        <w:rPr>
          <w:color w:val="000000"/>
          <w:sz w:val="24"/>
          <w:szCs w:val="24"/>
        </w:rPr>
        <w:t xml:space="preserve"> in the </w:t>
      </w:r>
      <w:r>
        <w:rPr>
          <w:b/>
          <w:sz w:val="24"/>
          <w:szCs w:val="24"/>
        </w:rPr>
        <w:t>w/c Monday 19</w:t>
      </w:r>
      <w:r>
        <w:rPr>
          <w:b/>
          <w:sz w:val="24"/>
          <w:szCs w:val="24"/>
          <w:vertAlign w:val="superscript"/>
        </w:rPr>
        <w:t>th</w:t>
      </w:r>
      <w:r>
        <w:rPr>
          <w:b/>
          <w:sz w:val="24"/>
          <w:szCs w:val="24"/>
        </w:rPr>
        <w:t xml:space="preserve"> July 2021</w:t>
      </w:r>
      <w:r>
        <w:rPr>
          <w:sz w:val="24"/>
          <w:szCs w:val="24"/>
        </w:rPr>
        <w:t xml:space="preserve">. </w:t>
      </w:r>
    </w:p>
    <w:p w14:paraId="00000024" w14:textId="77777777" w:rsidR="00B600F3" w:rsidRDefault="00B600F3">
      <w:pPr>
        <w:rPr>
          <w:sz w:val="24"/>
          <w:szCs w:val="24"/>
        </w:rPr>
      </w:pPr>
    </w:p>
    <w:p w14:paraId="00000025" w14:textId="77777777" w:rsidR="00B600F3" w:rsidRDefault="003C169B">
      <w:pPr>
        <w:rPr>
          <w:sz w:val="24"/>
          <w:szCs w:val="24"/>
        </w:rPr>
      </w:pPr>
      <w:r>
        <w:rPr>
          <w:sz w:val="24"/>
          <w:szCs w:val="24"/>
        </w:rPr>
        <w:t xml:space="preserve">If your submission is selected to be presented at the roundtable event, you will be invited to present in July/August - exact date to be confirmed. </w:t>
      </w:r>
    </w:p>
    <w:p w14:paraId="00000026" w14:textId="77777777" w:rsidR="00B600F3" w:rsidRDefault="00B600F3">
      <w:pPr>
        <w:rPr>
          <w:b/>
          <w:color w:val="000000"/>
          <w:sz w:val="24"/>
          <w:szCs w:val="24"/>
        </w:rPr>
      </w:pPr>
    </w:p>
    <w:p w14:paraId="00000027" w14:textId="77777777" w:rsidR="00B600F3" w:rsidRDefault="003C169B">
      <w:pPr>
        <w:rPr>
          <w:b/>
          <w:color w:val="3B66BC"/>
          <w:sz w:val="24"/>
          <w:szCs w:val="24"/>
        </w:rPr>
      </w:pPr>
      <w:r>
        <w:rPr>
          <w:b/>
          <w:color w:val="3B66BC"/>
          <w:sz w:val="24"/>
          <w:szCs w:val="24"/>
        </w:rPr>
        <w:t xml:space="preserve">Screening of best practice submissions  </w:t>
      </w:r>
    </w:p>
    <w:p w14:paraId="00000028" w14:textId="77777777" w:rsidR="00B600F3" w:rsidRDefault="003C169B">
      <w:pPr>
        <w:rPr>
          <w:sz w:val="24"/>
          <w:szCs w:val="24"/>
        </w:rPr>
      </w:pPr>
      <w:r>
        <w:rPr>
          <w:color w:val="000000"/>
          <w:sz w:val="24"/>
          <w:szCs w:val="24"/>
        </w:rPr>
        <w:t>TASO will evaluate responses using the following criteria</w:t>
      </w:r>
      <w:r>
        <w:rPr>
          <w:sz w:val="24"/>
          <w:szCs w:val="24"/>
        </w:rPr>
        <w:t xml:space="preserve"> (</w:t>
      </w:r>
      <w:r>
        <w:rPr>
          <w:color w:val="000000"/>
          <w:sz w:val="24"/>
          <w:szCs w:val="24"/>
        </w:rPr>
        <w:t>in no particular order):</w:t>
      </w:r>
    </w:p>
    <w:p w14:paraId="00000029" w14:textId="77777777" w:rsidR="00B600F3" w:rsidRDefault="003C169B">
      <w:pPr>
        <w:numPr>
          <w:ilvl w:val="0"/>
          <w:numId w:val="1"/>
        </w:numPr>
        <w:spacing w:before="60" w:line="264" w:lineRule="auto"/>
        <w:ind w:right="96"/>
        <w:jc w:val="both"/>
        <w:rPr>
          <w:sz w:val="24"/>
          <w:szCs w:val="24"/>
        </w:rPr>
      </w:pPr>
      <w:r>
        <w:rPr>
          <w:sz w:val="24"/>
          <w:szCs w:val="24"/>
        </w:rPr>
        <w:t xml:space="preserve">The evaluation has taken place since the start of the pandemic. </w:t>
      </w:r>
    </w:p>
    <w:p w14:paraId="0000002A" w14:textId="77777777" w:rsidR="00B600F3" w:rsidRDefault="003C169B">
      <w:pPr>
        <w:numPr>
          <w:ilvl w:val="0"/>
          <w:numId w:val="1"/>
        </w:numPr>
        <w:spacing w:line="264" w:lineRule="auto"/>
        <w:ind w:right="96"/>
        <w:jc w:val="both"/>
        <w:rPr>
          <w:sz w:val="24"/>
          <w:szCs w:val="24"/>
        </w:rPr>
      </w:pPr>
      <w:r>
        <w:rPr>
          <w:sz w:val="24"/>
          <w:szCs w:val="24"/>
        </w:rPr>
        <w:t xml:space="preserve">The evaluation is focussed on understanding the impact of the pandemic, and the switch to online teaching and learning, on student experience and success. </w:t>
      </w:r>
    </w:p>
    <w:p w14:paraId="0000002B" w14:textId="77777777" w:rsidR="00B600F3" w:rsidRDefault="003C169B">
      <w:pPr>
        <w:numPr>
          <w:ilvl w:val="0"/>
          <w:numId w:val="1"/>
        </w:numPr>
        <w:spacing w:line="264" w:lineRule="auto"/>
        <w:ind w:right="96"/>
        <w:jc w:val="both"/>
        <w:rPr>
          <w:sz w:val="24"/>
          <w:szCs w:val="24"/>
        </w:rPr>
      </w:pPr>
      <w:r>
        <w:rPr>
          <w:sz w:val="24"/>
          <w:szCs w:val="24"/>
        </w:rPr>
        <w:t xml:space="preserve">The evaluation is focused on understanding the experience of disadvantaged learners and/or learners from Black, Asian and minority ethnic groups. </w:t>
      </w:r>
    </w:p>
    <w:p w14:paraId="0000002C" w14:textId="77777777" w:rsidR="00B600F3" w:rsidRDefault="003C169B">
      <w:pPr>
        <w:numPr>
          <w:ilvl w:val="0"/>
          <w:numId w:val="1"/>
        </w:numPr>
        <w:spacing w:line="264" w:lineRule="auto"/>
        <w:ind w:right="96"/>
        <w:jc w:val="both"/>
        <w:rPr>
          <w:sz w:val="24"/>
          <w:szCs w:val="24"/>
        </w:rPr>
      </w:pPr>
      <w:r>
        <w:rPr>
          <w:sz w:val="24"/>
          <w:szCs w:val="24"/>
        </w:rPr>
        <w:t xml:space="preserve">The evaluation focuses on how learners’ attainment and progression has been impacted. </w:t>
      </w:r>
    </w:p>
    <w:p w14:paraId="0000002D" w14:textId="77777777" w:rsidR="00B600F3" w:rsidRDefault="003C169B">
      <w:pPr>
        <w:numPr>
          <w:ilvl w:val="0"/>
          <w:numId w:val="1"/>
        </w:numPr>
        <w:spacing w:line="264" w:lineRule="auto"/>
        <w:ind w:right="96"/>
        <w:jc w:val="both"/>
        <w:rPr>
          <w:sz w:val="24"/>
          <w:szCs w:val="24"/>
        </w:rPr>
      </w:pPr>
      <w:r>
        <w:rPr>
          <w:sz w:val="24"/>
          <w:szCs w:val="24"/>
        </w:rPr>
        <w:t xml:space="preserve">The clarity with which findings are communicated. </w:t>
      </w:r>
    </w:p>
    <w:p w14:paraId="0000002E" w14:textId="77777777" w:rsidR="00B600F3" w:rsidRDefault="003C169B">
      <w:pPr>
        <w:numPr>
          <w:ilvl w:val="0"/>
          <w:numId w:val="1"/>
        </w:numPr>
        <w:spacing w:line="264" w:lineRule="auto"/>
        <w:ind w:right="96"/>
        <w:jc w:val="both"/>
        <w:rPr>
          <w:sz w:val="24"/>
          <w:szCs w:val="24"/>
        </w:rPr>
      </w:pPr>
      <w:r>
        <w:rPr>
          <w:sz w:val="24"/>
          <w:szCs w:val="24"/>
        </w:rPr>
        <w:t xml:space="preserve">We will favour evaluations that use the Office for Students' </w:t>
      </w:r>
      <w:hyperlink r:id="rId11">
        <w:r>
          <w:rPr>
            <w:color w:val="1155CC"/>
            <w:sz w:val="24"/>
            <w:szCs w:val="24"/>
            <w:u w:val="single"/>
          </w:rPr>
          <w:t>Type 2 and Type 3</w:t>
        </w:r>
      </w:hyperlink>
      <w:r>
        <w:rPr>
          <w:sz w:val="24"/>
          <w:szCs w:val="24"/>
        </w:rPr>
        <w:t xml:space="preserve">  evaluation approaches. </w:t>
      </w:r>
    </w:p>
    <w:p w14:paraId="0000002F" w14:textId="77777777" w:rsidR="00B600F3" w:rsidRDefault="00B600F3">
      <w:pPr>
        <w:spacing w:before="60" w:after="120"/>
        <w:ind w:left="66"/>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803"/>
      </w:tblGrid>
      <w:tr w:rsidR="00B600F3" w14:paraId="2727AD09" w14:textId="77777777">
        <w:tc>
          <w:tcPr>
            <w:tcW w:w="2547" w:type="dxa"/>
            <w:shd w:val="clear" w:color="auto" w:fill="F2F2F2"/>
          </w:tcPr>
          <w:p w14:paraId="00000030" w14:textId="77777777" w:rsidR="00B600F3" w:rsidRDefault="003C169B">
            <w:pPr>
              <w:keepNext/>
              <w:tabs>
                <w:tab w:val="left" w:pos="1575"/>
              </w:tabs>
              <w:spacing w:before="60" w:after="100" w:line="264" w:lineRule="auto"/>
              <w:rPr>
                <w:sz w:val="24"/>
                <w:szCs w:val="24"/>
              </w:rPr>
            </w:pPr>
            <w:r>
              <w:rPr>
                <w:sz w:val="24"/>
                <w:szCs w:val="24"/>
              </w:rPr>
              <w:lastRenderedPageBreak/>
              <w:t xml:space="preserve">Data Protection Notice </w:t>
            </w:r>
          </w:p>
        </w:tc>
        <w:tc>
          <w:tcPr>
            <w:tcW w:w="6803" w:type="dxa"/>
          </w:tcPr>
          <w:p w14:paraId="00000031" w14:textId="77777777" w:rsidR="00B600F3" w:rsidRDefault="003C169B">
            <w:pPr>
              <w:spacing w:before="60" w:line="264" w:lineRule="auto"/>
              <w:ind w:right="96"/>
              <w:jc w:val="both"/>
              <w:rPr>
                <w:sz w:val="24"/>
                <w:szCs w:val="24"/>
              </w:rPr>
            </w:pPr>
            <w:r>
              <w:rPr>
                <w:sz w:val="24"/>
                <w:szCs w:val="24"/>
              </w:rPr>
              <w:t>Evidence submitted will be used to help write a report which we plan to publish later this year. However, no higher education providers, local authorities, charities or other organisations will be identified in any publication unless we receive written permission to do so. We may also ask your permission to refer to your evidence in a repository of best practice as part of our online evidence toolkit.</w:t>
            </w:r>
          </w:p>
          <w:p w14:paraId="00000032" w14:textId="77777777" w:rsidR="00B600F3" w:rsidRDefault="00B600F3">
            <w:pPr>
              <w:spacing w:before="60" w:line="264" w:lineRule="auto"/>
              <w:ind w:right="96"/>
              <w:jc w:val="both"/>
              <w:rPr>
                <w:sz w:val="24"/>
                <w:szCs w:val="24"/>
              </w:rPr>
            </w:pPr>
          </w:p>
          <w:p w14:paraId="00000033" w14:textId="77777777" w:rsidR="00B600F3" w:rsidRDefault="003C169B">
            <w:pPr>
              <w:spacing w:before="60" w:line="264" w:lineRule="auto"/>
              <w:ind w:right="96"/>
              <w:jc w:val="both"/>
              <w:rPr>
                <w:sz w:val="24"/>
                <w:szCs w:val="24"/>
              </w:rPr>
            </w:pPr>
            <w:r>
              <w:rPr>
                <w:sz w:val="24"/>
                <w:szCs w:val="24"/>
              </w:rPr>
              <w:t xml:space="preserve">Please read the </w:t>
            </w:r>
            <w:hyperlink r:id="rId12">
              <w:r>
                <w:rPr>
                  <w:color w:val="1155CC"/>
                  <w:sz w:val="24"/>
                  <w:szCs w:val="24"/>
                  <w:u w:val="single"/>
                </w:rPr>
                <w:t>Data Protection Notice</w:t>
              </w:r>
            </w:hyperlink>
            <w:r>
              <w:rPr>
                <w:sz w:val="24"/>
                <w:szCs w:val="24"/>
              </w:rPr>
              <w:t xml:space="preserve"> for this project before submitting your evidence. </w:t>
            </w:r>
          </w:p>
        </w:tc>
      </w:tr>
      <w:tr w:rsidR="00B600F3" w14:paraId="3825ED8A" w14:textId="77777777">
        <w:tc>
          <w:tcPr>
            <w:tcW w:w="2547" w:type="dxa"/>
            <w:shd w:val="clear" w:color="auto" w:fill="F2F2F2"/>
          </w:tcPr>
          <w:p w14:paraId="00000034" w14:textId="77777777" w:rsidR="00B600F3" w:rsidRDefault="003C169B">
            <w:pPr>
              <w:keepNext/>
              <w:tabs>
                <w:tab w:val="left" w:pos="1575"/>
              </w:tabs>
              <w:spacing w:before="60" w:after="100" w:line="264" w:lineRule="auto"/>
              <w:rPr>
                <w:sz w:val="24"/>
                <w:szCs w:val="24"/>
              </w:rPr>
            </w:pPr>
            <w:r>
              <w:rPr>
                <w:b/>
                <w:color w:val="3B66BC"/>
                <w:sz w:val="24"/>
                <w:szCs w:val="24"/>
              </w:rPr>
              <w:t xml:space="preserve">Data Protection Notice </w:t>
            </w:r>
          </w:p>
        </w:tc>
        <w:tc>
          <w:tcPr>
            <w:tcW w:w="6803" w:type="dxa"/>
          </w:tcPr>
          <w:p w14:paraId="00000035" w14:textId="77777777" w:rsidR="00B600F3" w:rsidRDefault="003C169B">
            <w:pPr>
              <w:spacing w:before="60" w:line="264" w:lineRule="auto"/>
              <w:ind w:right="96"/>
              <w:jc w:val="both"/>
              <w:rPr>
                <w:sz w:val="24"/>
                <w:szCs w:val="24"/>
              </w:rPr>
            </w:pPr>
            <w:r>
              <w:rPr>
                <w:sz w:val="24"/>
                <w:szCs w:val="24"/>
              </w:rPr>
              <w:t xml:space="preserve">Do you confirm that you have read and understood the </w:t>
            </w:r>
            <w:hyperlink r:id="rId13">
              <w:r>
                <w:rPr>
                  <w:color w:val="1155CC"/>
                  <w:sz w:val="24"/>
                  <w:szCs w:val="24"/>
                  <w:u w:val="single"/>
                </w:rPr>
                <w:t>Data Protection Notice</w:t>
              </w:r>
            </w:hyperlink>
            <w:r>
              <w:rPr>
                <w:sz w:val="24"/>
                <w:szCs w:val="24"/>
              </w:rPr>
              <w:t xml:space="preserve">? </w:t>
            </w:r>
          </w:p>
          <w:p w14:paraId="00000036" w14:textId="77777777" w:rsidR="00B600F3" w:rsidRDefault="003C169B">
            <w:pPr>
              <w:spacing w:before="60" w:line="264" w:lineRule="auto"/>
              <w:ind w:right="96"/>
              <w:jc w:val="both"/>
              <w:rPr>
                <w:sz w:val="24"/>
                <w:szCs w:val="24"/>
              </w:rPr>
            </w:pPr>
            <w:r>
              <w:rPr>
                <w:sz w:val="24"/>
                <w:szCs w:val="24"/>
              </w:rPr>
              <w:t xml:space="preserve">Yes </w:t>
            </w:r>
          </w:p>
          <w:p w14:paraId="00000037" w14:textId="77777777" w:rsidR="00B600F3" w:rsidRDefault="003C169B">
            <w:pPr>
              <w:spacing w:before="60" w:line="264" w:lineRule="auto"/>
              <w:ind w:right="96"/>
              <w:jc w:val="both"/>
              <w:rPr>
                <w:sz w:val="24"/>
                <w:szCs w:val="24"/>
              </w:rPr>
            </w:pPr>
            <w:r>
              <w:rPr>
                <w:sz w:val="24"/>
                <w:szCs w:val="24"/>
              </w:rPr>
              <w:t xml:space="preserve">No </w:t>
            </w:r>
          </w:p>
        </w:tc>
      </w:tr>
      <w:tr w:rsidR="00B600F3" w14:paraId="2216A01D" w14:textId="77777777">
        <w:tc>
          <w:tcPr>
            <w:tcW w:w="2547" w:type="dxa"/>
            <w:shd w:val="clear" w:color="auto" w:fill="F2F2F2"/>
          </w:tcPr>
          <w:p w14:paraId="00000038" w14:textId="77777777" w:rsidR="00B600F3" w:rsidRDefault="003C169B">
            <w:pPr>
              <w:keepNext/>
              <w:tabs>
                <w:tab w:val="left" w:pos="1575"/>
              </w:tabs>
              <w:spacing w:before="60" w:after="100" w:line="264" w:lineRule="auto"/>
              <w:rPr>
                <w:b/>
                <w:color w:val="3B66BC"/>
                <w:sz w:val="24"/>
                <w:szCs w:val="24"/>
              </w:rPr>
            </w:pPr>
            <w:r>
              <w:rPr>
                <w:b/>
                <w:color w:val="3B66BC"/>
                <w:sz w:val="24"/>
                <w:szCs w:val="24"/>
              </w:rPr>
              <w:t>Lead organisation</w:t>
            </w:r>
          </w:p>
        </w:tc>
        <w:tc>
          <w:tcPr>
            <w:tcW w:w="6803" w:type="dxa"/>
          </w:tcPr>
          <w:p w14:paraId="00000039" w14:textId="77777777" w:rsidR="00B600F3" w:rsidRDefault="00B600F3">
            <w:pPr>
              <w:keepNext/>
              <w:spacing w:before="60" w:after="120" w:line="240" w:lineRule="auto"/>
              <w:rPr>
                <w:b/>
                <w:color w:val="3B66BC"/>
                <w:sz w:val="24"/>
                <w:szCs w:val="24"/>
              </w:rPr>
            </w:pPr>
          </w:p>
        </w:tc>
      </w:tr>
      <w:tr w:rsidR="00B600F3" w14:paraId="59093394" w14:textId="77777777">
        <w:trPr>
          <w:trHeight w:val="478"/>
        </w:trPr>
        <w:tc>
          <w:tcPr>
            <w:tcW w:w="2547" w:type="dxa"/>
            <w:shd w:val="clear" w:color="auto" w:fill="F2F2F2"/>
          </w:tcPr>
          <w:p w14:paraId="0000003A" w14:textId="77777777" w:rsidR="00B600F3" w:rsidRDefault="003C169B">
            <w:pPr>
              <w:tabs>
                <w:tab w:val="left" w:pos="1575"/>
              </w:tabs>
              <w:spacing w:before="60" w:after="100" w:line="264" w:lineRule="auto"/>
              <w:rPr>
                <w:b/>
                <w:color w:val="3B66BC"/>
                <w:sz w:val="24"/>
                <w:szCs w:val="24"/>
              </w:rPr>
            </w:pPr>
            <w:r>
              <w:rPr>
                <w:b/>
                <w:color w:val="3B66BC"/>
                <w:sz w:val="24"/>
                <w:szCs w:val="24"/>
              </w:rPr>
              <w:t>Contact name</w:t>
            </w:r>
          </w:p>
        </w:tc>
        <w:tc>
          <w:tcPr>
            <w:tcW w:w="6803" w:type="dxa"/>
          </w:tcPr>
          <w:p w14:paraId="0000003B" w14:textId="77777777" w:rsidR="00B600F3" w:rsidRDefault="00B600F3">
            <w:pPr>
              <w:spacing w:before="60" w:after="120" w:line="240" w:lineRule="auto"/>
              <w:rPr>
                <w:b/>
                <w:color w:val="3B66BC"/>
                <w:sz w:val="24"/>
                <w:szCs w:val="24"/>
              </w:rPr>
            </w:pPr>
          </w:p>
        </w:tc>
      </w:tr>
      <w:tr w:rsidR="00B600F3" w14:paraId="510C93B3" w14:textId="77777777">
        <w:tc>
          <w:tcPr>
            <w:tcW w:w="2547" w:type="dxa"/>
            <w:shd w:val="clear" w:color="auto" w:fill="F2F2F2"/>
          </w:tcPr>
          <w:p w14:paraId="0000003C" w14:textId="77777777" w:rsidR="00B600F3" w:rsidRDefault="003C169B">
            <w:pPr>
              <w:tabs>
                <w:tab w:val="left" w:pos="1575"/>
              </w:tabs>
              <w:spacing w:before="60" w:after="100" w:line="264" w:lineRule="auto"/>
              <w:rPr>
                <w:b/>
                <w:color w:val="3B66BC"/>
                <w:sz w:val="24"/>
                <w:szCs w:val="24"/>
              </w:rPr>
            </w:pPr>
            <w:bookmarkStart w:id="0" w:name="_heading=h.gjdgxs" w:colFirst="0" w:colLast="0"/>
            <w:bookmarkEnd w:id="0"/>
            <w:r>
              <w:rPr>
                <w:b/>
                <w:color w:val="3B66BC"/>
                <w:sz w:val="24"/>
                <w:szCs w:val="24"/>
              </w:rPr>
              <w:t>Contact job role</w:t>
            </w:r>
          </w:p>
        </w:tc>
        <w:tc>
          <w:tcPr>
            <w:tcW w:w="6803" w:type="dxa"/>
          </w:tcPr>
          <w:p w14:paraId="0000003D" w14:textId="77777777" w:rsidR="00B600F3" w:rsidRDefault="00B600F3">
            <w:pPr>
              <w:spacing w:before="60" w:after="120" w:line="240" w:lineRule="auto"/>
              <w:rPr>
                <w:b/>
                <w:color w:val="3B66BC"/>
                <w:sz w:val="24"/>
                <w:szCs w:val="24"/>
              </w:rPr>
            </w:pPr>
          </w:p>
        </w:tc>
      </w:tr>
      <w:tr w:rsidR="00B600F3" w14:paraId="6A8B192F" w14:textId="77777777">
        <w:tc>
          <w:tcPr>
            <w:tcW w:w="2547" w:type="dxa"/>
            <w:shd w:val="clear" w:color="auto" w:fill="F2F2F2"/>
          </w:tcPr>
          <w:p w14:paraId="0000003E" w14:textId="77777777" w:rsidR="00B600F3" w:rsidRDefault="003C169B">
            <w:pPr>
              <w:tabs>
                <w:tab w:val="left" w:pos="1575"/>
              </w:tabs>
              <w:spacing w:before="60" w:after="100" w:line="264" w:lineRule="auto"/>
              <w:rPr>
                <w:b/>
                <w:color w:val="3B66BC"/>
                <w:sz w:val="24"/>
                <w:szCs w:val="24"/>
              </w:rPr>
            </w:pPr>
            <w:bookmarkStart w:id="1" w:name="_heading=h.8tjofhgagv4m" w:colFirst="0" w:colLast="0"/>
            <w:bookmarkEnd w:id="1"/>
            <w:r>
              <w:rPr>
                <w:b/>
                <w:color w:val="3B66BC"/>
                <w:sz w:val="24"/>
                <w:szCs w:val="24"/>
              </w:rPr>
              <w:t>Contact email</w:t>
            </w:r>
          </w:p>
        </w:tc>
        <w:tc>
          <w:tcPr>
            <w:tcW w:w="6803" w:type="dxa"/>
          </w:tcPr>
          <w:p w14:paraId="0000003F" w14:textId="77777777" w:rsidR="00B600F3" w:rsidRDefault="00B600F3">
            <w:pPr>
              <w:spacing w:before="60" w:after="120" w:line="240" w:lineRule="auto"/>
              <w:rPr>
                <w:b/>
                <w:color w:val="3B66BC"/>
                <w:sz w:val="24"/>
                <w:szCs w:val="24"/>
              </w:rPr>
            </w:pPr>
          </w:p>
        </w:tc>
      </w:tr>
      <w:tr w:rsidR="00B600F3" w14:paraId="75521423" w14:textId="77777777">
        <w:tc>
          <w:tcPr>
            <w:tcW w:w="2547" w:type="dxa"/>
            <w:shd w:val="clear" w:color="auto" w:fill="F2F2F2"/>
          </w:tcPr>
          <w:p w14:paraId="00000040" w14:textId="77777777" w:rsidR="00B600F3" w:rsidRDefault="003C169B">
            <w:pPr>
              <w:spacing w:before="60" w:after="100" w:line="264" w:lineRule="auto"/>
              <w:rPr>
                <w:b/>
                <w:color w:val="3B66BC"/>
                <w:sz w:val="24"/>
                <w:szCs w:val="24"/>
              </w:rPr>
            </w:pPr>
            <w:r>
              <w:rPr>
                <w:b/>
                <w:color w:val="3B66BC"/>
                <w:sz w:val="24"/>
                <w:szCs w:val="24"/>
              </w:rPr>
              <w:t>Contact telephone</w:t>
            </w:r>
          </w:p>
        </w:tc>
        <w:tc>
          <w:tcPr>
            <w:tcW w:w="6803" w:type="dxa"/>
          </w:tcPr>
          <w:p w14:paraId="00000041" w14:textId="77777777" w:rsidR="00B600F3" w:rsidRDefault="00B600F3">
            <w:pPr>
              <w:spacing w:before="60" w:after="120" w:line="240" w:lineRule="auto"/>
              <w:rPr>
                <w:b/>
                <w:color w:val="3B66BC"/>
                <w:sz w:val="24"/>
                <w:szCs w:val="24"/>
              </w:rPr>
            </w:pPr>
          </w:p>
        </w:tc>
      </w:tr>
      <w:tr w:rsidR="00B600F3" w14:paraId="68DB6A6A" w14:textId="77777777">
        <w:tc>
          <w:tcPr>
            <w:tcW w:w="9350" w:type="dxa"/>
            <w:gridSpan w:val="2"/>
            <w:shd w:val="clear" w:color="auto" w:fill="D6E0F2"/>
          </w:tcPr>
          <w:p w14:paraId="00000042" w14:textId="77777777" w:rsidR="00B600F3" w:rsidRDefault="003C169B">
            <w:pPr>
              <w:spacing w:before="60" w:after="100" w:line="264" w:lineRule="auto"/>
              <w:rPr>
                <w:b/>
                <w:color w:val="3B66BC"/>
                <w:sz w:val="36"/>
                <w:szCs w:val="36"/>
              </w:rPr>
            </w:pPr>
            <w:r>
              <w:rPr>
                <w:b/>
                <w:color w:val="3B66BC"/>
                <w:sz w:val="36"/>
                <w:szCs w:val="36"/>
              </w:rPr>
              <w:t>SECTION A: Evaluation method and design</w:t>
            </w:r>
          </w:p>
          <w:p w14:paraId="00000043" w14:textId="77777777" w:rsidR="00B600F3" w:rsidRDefault="003C169B">
            <w:pPr>
              <w:spacing w:before="60" w:after="120" w:line="240" w:lineRule="auto"/>
              <w:rPr>
                <w:i/>
                <w:color w:val="3B66BC"/>
                <w:sz w:val="20"/>
                <w:szCs w:val="20"/>
              </w:rPr>
            </w:pPr>
            <w:r>
              <w:rPr>
                <w:i/>
                <w:color w:val="3B66BC"/>
                <w:sz w:val="20"/>
                <w:szCs w:val="20"/>
              </w:rPr>
              <w:t>Please provide details of the methods and design you used when conducting the evaluation. Please include information about:</w:t>
            </w:r>
          </w:p>
          <w:p w14:paraId="00000044" w14:textId="77777777" w:rsidR="00B600F3" w:rsidRDefault="003C169B">
            <w:pPr>
              <w:numPr>
                <w:ilvl w:val="0"/>
                <w:numId w:val="5"/>
              </w:numPr>
              <w:spacing w:before="60" w:line="240" w:lineRule="auto"/>
              <w:rPr>
                <w:i/>
                <w:color w:val="3B66BC"/>
                <w:sz w:val="20"/>
                <w:szCs w:val="20"/>
              </w:rPr>
            </w:pPr>
            <w:r>
              <w:rPr>
                <w:i/>
                <w:color w:val="3B66BC"/>
                <w:sz w:val="20"/>
                <w:szCs w:val="20"/>
              </w:rPr>
              <w:t>The evaluation approach and methods used</w:t>
            </w:r>
          </w:p>
          <w:p w14:paraId="00000045" w14:textId="77777777" w:rsidR="00B600F3" w:rsidRDefault="003C169B">
            <w:pPr>
              <w:numPr>
                <w:ilvl w:val="0"/>
                <w:numId w:val="5"/>
              </w:numPr>
              <w:spacing w:line="240" w:lineRule="auto"/>
              <w:rPr>
                <w:i/>
                <w:color w:val="3B66BC"/>
                <w:sz w:val="20"/>
                <w:szCs w:val="20"/>
              </w:rPr>
            </w:pPr>
            <w:r>
              <w:rPr>
                <w:i/>
                <w:color w:val="3B66BC"/>
                <w:sz w:val="20"/>
                <w:szCs w:val="20"/>
              </w:rPr>
              <w:t xml:space="preserve">The statistical analysis conducted </w:t>
            </w:r>
          </w:p>
          <w:p w14:paraId="00000046" w14:textId="77777777" w:rsidR="00B600F3" w:rsidRDefault="003C169B">
            <w:pPr>
              <w:numPr>
                <w:ilvl w:val="0"/>
                <w:numId w:val="5"/>
              </w:numPr>
              <w:spacing w:after="120" w:line="240" w:lineRule="auto"/>
              <w:rPr>
                <w:i/>
                <w:color w:val="3B66BC"/>
                <w:sz w:val="20"/>
                <w:szCs w:val="20"/>
              </w:rPr>
            </w:pPr>
            <w:r>
              <w:rPr>
                <w:i/>
                <w:color w:val="3B66BC"/>
                <w:sz w:val="20"/>
                <w:szCs w:val="20"/>
              </w:rPr>
              <w:t xml:space="preserve">The sample size and basic demographic breakdown </w:t>
            </w:r>
          </w:p>
          <w:p w14:paraId="00000047" w14:textId="77777777" w:rsidR="00B600F3" w:rsidRDefault="003C169B">
            <w:pPr>
              <w:spacing w:before="60" w:after="120" w:line="240" w:lineRule="auto"/>
              <w:rPr>
                <w:b/>
                <w:color w:val="3B66BC"/>
                <w:sz w:val="24"/>
                <w:szCs w:val="24"/>
              </w:rPr>
            </w:pPr>
            <w:r>
              <w:rPr>
                <w:i/>
                <w:color w:val="3B66BC"/>
                <w:sz w:val="20"/>
                <w:szCs w:val="20"/>
              </w:rPr>
              <w:t>[700 words max]</w:t>
            </w:r>
          </w:p>
        </w:tc>
      </w:tr>
      <w:tr w:rsidR="00B600F3" w14:paraId="448E4D55" w14:textId="77777777">
        <w:tc>
          <w:tcPr>
            <w:tcW w:w="9350" w:type="dxa"/>
            <w:gridSpan w:val="2"/>
            <w:shd w:val="clear" w:color="auto" w:fill="auto"/>
          </w:tcPr>
          <w:p w14:paraId="00000049" w14:textId="77777777" w:rsidR="00B600F3" w:rsidRDefault="00B600F3">
            <w:pPr>
              <w:spacing w:before="60" w:after="100" w:line="264" w:lineRule="auto"/>
              <w:rPr>
                <w:b/>
                <w:color w:val="3B66BC"/>
                <w:sz w:val="24"/>
                <w:szCs w:val="24"/>
              </w:rPr>
            </w:pPr>
          </w:p>
          <w:p w14:paraId="0000004A" w14:textId="77777777" w:rsidR="00B600F3" w:rsidRDefault="00B600F3">
            <w:pPr>
              <w:spacing w:before="60" w:after="100" w:line="264" w:lineRule="auto"/>
              <w:rPr>
                <w:b/>
                <w:color w:val="3B66BC"/>
                <w:sz w:val="24"/>
                <w:szCs w:val="24"/>
              </w:rPr>
            </w:pPr>
          </w:p>
          <w:p w14:paraId="0000004B" w14:textId="77777777" w:rsidR="00B600F3" w:rsidRDefault="00B600F3">
            <w:pPr>
              <w:spacing w:before="60" w:after="120" w:line="240" w:lineRule="auto"/>
              <w:rPr>
                <w:rFonts w:ascii="MS Gothic" w:eastAsia="MS Gothic" w:hAnsi="MS Gothic" w:cs="MS Gothic"/>
                <w:b/>
                <w:color w:val="242852"/>
                <w:sz w:val="24"/>
                <w:szCs w:val="24"/>
              </w:rPr>
            </w:pPr>
          </w:p>
        </w:tc>
      </w:tr>
      <w:tr w:rsidR="00B600F3" w14:paraId="22399424" w14:textId="77777777">
        <w:tc>
          <w:tcPr>
            <w:tcW w:w="9350" w:type="dxa"/>
            <w:gridSpan w:val="2"/>
            <w:shd w:val="clear" w:color="auto" w:fill="D6E0F2"/>
          </w:tcPr>
          <w:p w14:paraId="0000004D" w14:textId="77777777" w:rsidR="00B600F3" w:rsidRDefault="003C169B">
            <w:pPr>
              <w:spacing w:before="60" w:after="120" w:line="240" w:lineRule="auto"/>
              <w:rPr>
                <w:b/>
                <w:color w:val="3B66BC"/>
                <w:sz w:val="36"/>
                <w:szCs w:val="36"/>
              </w:rPr>
            </w:pPr>
            <w:r>
              <w:rPr>
                <w:b/>
                <w:color w:val="3B66BC"/>
                <w:sz w:val="36"/>
                <w:szCs w:val="36"/>
              </w:rPr>
              <w:t xml:space="preserve">SECTION B: Evaluation findings </w:t>
            </w:r>
          </w:p>
          <w:p w14:paraId="0000004E" w14:textId="77777777" w:rsidR="00B600F3" w:rsidRDefault="003C169B">
            <w:pPr>
              <w:spacing w:before="60" w:after="120" w:line="240" w:lineRule="auto"/>
              <w:rPr>
                <w:i/>
                <w:color w:val="3B66BC"/>
                <w:sz w:val="20"/>
                <w:szCs w:val="20"/>
              </w:rPr>
            </w:pPr>
            <w:r>
              <w:rPr>
                <w:i/>
                <w:color w:val="3B66BC"/>
                <w:sz w:val="20"/>
                <w:szCs w:val="20"/>
              </w:rPr>
              <w:t>Please provide an overview of the key findings. Please cover:</w:t>
            </w:r>
          </w:p>
          <w:p w14:paraId="0000004F" w14:textId="77777777" w:rsidR="00B600F3" w:rsidRDefault="003C169B">
            <w:pPr>
              <w:numPr>
                <w:ilvl w:val="0"/>
                <w:numId w:val="4"/>
              </w:numPr>
              <w:spacing w:before="60" w:line="240" w:lineRule="auto"/>
              <w:rPr>
                <w:i/>
                <w:color w:val="3B66BC"/>
                <w:sz w:val="20"/>
                <w:szCs w:val="20"/>
              </w:rPr>
            </w:pPr>
            <w:r>
              <w:rPr>
                <w:i/>
                <w:color w:val="3B66BC"/>
                <w:sz w:val="20"/>
                <w:szCs w:val="20"/>
              </w:rPr>
              <w:t xml:space="preserve">The impact on primary outcomes of interest </w:t>
            </w:r>
          </w:p>
          <w:p w14:paraId="00000050" w14:textId="77777777" w:rsidR="00B600F3" w:rsidRDefault="003C169B">
            <w:pPr>
              <w:numPr>
                <w:ilvl w:val="0"/>
                <w:numId w:val="4"/>
              </w:numPr>
              <w:spacing w:before="60" w:line="240" w:lineRule="auto"/>
              <w:rPr>
                <w:i/>
                <w:color w:val="3B66BC"/>
                <w:sz w:val="20"/>
                <w:szCs w:val="20"/>
              </w:rPr>
            </w:pPr>
            <w:r>
              <w:rPr>
                <w:i/>
                <w:color w:val="3B66BC"/>
                <w:sz w:val="20"/>
                <w:szCs w:val="20"/>
              </w:rPr>
              <w:t xml:space="preserve">The impact on disadvantaged learners </w:t>
            </w:r>
          </w:p>
          <w:p w14:paraId="00000051" w14:textId="77777777" w:rsidR="00B600F3" w:rsidRDefault="003C169B">
            <w:pPr>
              <w:numPr>
                <w:ilvl w:val="0"/>
                <w:numId w:val="4"/>
              </w:numPr>
              <w:spacing w:before="60" w:line="240" w:lineRule="auto"/>
              <w:rPr>
                <w:i/>
                <w:color w:val="3B66BC"/>
                <w:sz w:val="20"/>
                <w:szCs w:val="20"/>
              </w:rPr>
            </w:pPr>
            <w:r>
              <w:rPr>
                <w:i/>
                <w:color w:val="3B66BC"/>
                <w:sz w:val="20"/>
                <w:szCs w:val="20"/>
              </w:rPr>
              <w:t xml:space="preserve">The strength of the evidence </w:t>
            </w:r>
          </w:p>
          <w:p w14:paraId="00000052" w14:textId="77777777" w:rsidR="00B600F3" w:rsidRDefault="003C169B">
            <w:pPr>
              <w:spacing w:after="120" w:line="240" w:lineRule="auto"/>
              <w:rPr>
                <w:i/>
                <w:color w:val="3B66BC"/>
                <w:sz w:val="20"/>
                <w:szCs w:val="20"/>
              </w:rPr>
            </w:pPr>
            <w:r>
              <w:rPr>
                <w:i/>
                <w:color w:val="3B66BC"/>
                <w:sz w:val="20"/>
                <w:szCs w:val="20"/>
              </w:rPr>
              <w:t>[500 words max]</w:t>
            </w:r>
          </w:p>
        </w:tc>
      </w:tr>
      <w:tr w:rsidR="00B600F3" w14:paraId="15F4EFE3" w14:textId="77777777">
        <w:tc>
          <w:tcPr>
            <w:tcW w:w="9350" w:type="dxa"/>
            <w:gridSpan w:val="2"/>
            <w:shd w:val="clear" w:color="auto" w:fill="auto"/>
          </w:tcPr>
          <w:p w14:paraId="00000054" w14:textId="77777777" w:rsidR="00B600F3" w:rsidRDefault="00B600F3">
            <w:pPr>
              <w:spacing w:before="60" w:after="120" w:line="240" w:lineRule="auto"/>
              <w:rPr>
                <w:b/>
                <w:color w:val="3B66BC"/>
                <w:sz w:val="24"/>
                <w:szCs w:val="24"/>
              </w:rPr>
            </w:pPr>
          </w:p>
          <w:p w14:paraId="00000055" w14:textId="77777777" w:rsidR="00B600F3" w:rsidRDefault="00B600F3">
            <w:pPr>
              <w:spacing w:before="60" w:after="120" w:line="240" w:lineRule="auto"/>
              <w:rPr>
                <w:b/>
                <w:color w:val="3B66BC"/>
                <w:sz w:val="24"/>
                <w:szCs w:val="24"/>
              </w:rPr>
            </w:pPr>
          </w:p>
          <w:p w14:paraId="00000056" w14:textId="77777777" w:rsidR="00B600F3" w:rsidRDefault="00B600F3">
            <w:pPr>
              <w:spacing w:before="60" w:after="120" w:line="240" w:lineRule="auto"/>
              <w:rPr>
                <w:b/>
                <w:color w:val="3B66BC"/>
                <w:sz w:val="24"/>
                <w:szCs w:val="24"/>
              </w:rPr>
            </w:pPr>
          </w:p>
        </w:tc>
      </w:tr>
      <w:tr w:rsidR="00B600F3" w14:paraId="70A3A3E4" w14:textId="77777777">
        <w:tc>
          <w:tcPr>
            <w:tcW w:w="9350" w:type="dxa"/>
            <w:gridSpan w:val="2"/>
            <w:shd w:val="clear" w:color="auto" w:fill="D6E0F2"/>
          </w:tcPr>
          <w:p w14:paraId="00000058" w14:textId="77777777" w:rsidR="00B600F3" w:rsidRDefault="003C169B">
            <w:pPr>
              <w:spacing w:before="60" w:after="100" w:line="264" w:lineRule="auto"/>
              <w:rPr>
                <w:b/>
                <w:color w:val="3B66BC"/>
                <w:sz w:val="36"/>
                <w:szCs w:val="36"/>
              </w:rPr>
            </w:pPr>
            <w:r>
              <w:rPr>
                <w:b/>
                <w:color w:val="3B66BC"/>
                <w:sz w:val="36"/>
                <w:szCs w:val="36"/>
              </w:rPr>
              <w:lastRenderedPageBreak/>
              <w:t xml:space="preserve">SECTION C: Recommendations and conclusions </w:t>
            </w:r>
          </w:p>
          <w:p w14:paraId="00000059" w14:textId="77777777" w:rsidR="00B600F3" w:rsidRDefault="003C169B">
            <w:pPr>
              <w:spacing w:before="60" w:after="120" w:line="240" w:lineRule="auto"/>
              <w:rPr>
                <w:i/>
                <w:color w:val="3B66BC"/>
                <w:sz w:val="20"/>
                <w:szCs w:val="20"/>
              </w:rPr>
            </w:pPr>
            <w:r>
              <w:rPr>
                <w:i/>
                <w:color w:val="3B66BC"/>
                <w:sz w:val="20"/>
                <w:szCs w:val="20"/>
              </w:rPr>
              <w:t xml:space="preserve">Please provide an overview of the key recommendations and conclusions from your evaluation. </w:t>
            </w:r>
          </w:p>
          <w:p w14:paraId="0000005A" w14:textId="77777777" w:rsidR="00B600F3" w:rsidRDefault="003C169B">
            <w:pPr>
              <w:spacing w:after="120" w:line="240" w:lineRule="auto"/>
              <w:rPr>
                <w:i/>
                <w:color w:val="3B66BC"/>
                <w:sz w:val="20"/>
                <w:szCs w:val="20"/>
              </w:rPr>
            </w:pPr>
            <w:r>
              <w:rPr>
                <w:i/>
                <w:color w:val="3B66BC"/>
                <w:sz w:val="20"/>
                <w:szCs w:val="20"/>
              </w:rPr>
              <w:t>[300 words max]</w:t>
            </w:r>
          </w:p>
        </w:tc>
      </w:tr>
      <w:tr w:rsidR="00B600F3" w14:paraId="50D34628" w14:textId="77777777">
        <w:tc>
          <w:tcPr>
            <w:tcW w:w="9350" w:type="dxa"/>
            <w:gridSpan w:val="2"/>
            <w:shd w:val="clear" w:color="auto" w:fill="auto"/>
          </w:tcPr>
          <w:p w14:paraId="0000005C" w14:textId="77777777" w:rsidR="00B600F3" w:rsidRDefault="00B600F3">
            <w:pPr>
              <w:spacing w:before="60" w:after="100" w:line="264" w:lineRule="auto"/>
              <w:rPr>
                <w:color w:val="3B66BC"/>
                <w:sz w:val="24"/>
                <w:szCs w:val="24"/>
              </w:rPr>
            </w:pPr>
          </w:p>
          <w:p w14:paraId="0000005D" w14:textId="77777777" w:rsidR="00B600F3" w:rsidRDefault="00B600F3">
            <w:pPr>
              <w:spacing w:before="60" w:after="100" w:line="264" w:lineRule="auto"/>
              <w:rPr>
                <w:color w:val="3B66BC"/>
                <w:sz w:val="24"/>
                <w:szCs w:val="24"/>
              </w:rPr>
            </w:pPr>
          </w:p>
          <w:p w14:paraId="0000005E" w14:textId="77777777" w:rsidR="00B600F3" w:rsidRDefault="00B600F3">
            <w:pPr>
              <w:spacing w:before="60" w:after="120" w:line="240" w:lineRule="auto"/>
              <w:rPr>
                <w:color w:val="3B66BC"/>
                <w:sz w:val="24"/>
                <w:szCs w:val="24"/>
              </w:rPr>
            </w:pPr>
          </w:p>
        </w:tc>
      </w:tr>
    </w:tbl>
    <w:p w14:paraId="00000060" w14:textId="77777777" w:rsidR="00B600F3" w:rsidRDefault="00B600F3">
      <w:pPr>
        <w:spacing w:before="60"/>
        <w:sectPr w:rsidR="00B600F3">
          <w:headerReference w:type="default" r:id="rId14"/>
          <w:pgSz w:w="11909" w:h="16834"/>
          <w:pgMar w:top="1440" w:right="1440" w:bottom="1440" w:left="1440" w:header="720" w:footer="720" w:gutter="0"/>
          <w:pgNumType w:start="1"/>
          <w:cols w:space="720"/>
        </w:sectPr>
      </w:pPr>
    </w:p>
    <w:p w14:paraId="00000061" w14:textId="77777777" w:rsidR="00B600F3" w:rsidRDefault="00B600F3">
      <w:pPr>
        <w:rPr>
          <w:b/>
          <w:sz w:val="24"/>
          <w:szCs w:val="24"/>
        </w:rPr>
      </w:pPr>
    </w:p>
    <w:p w14:paraId="00000062" w14:textId="77777777" w:rsidR="00B600F3" w:rsidRDefault="003C169B">
      <w:pPr>
        <w:keepNext/>
        <w:keepLines/>
        <w:spacing w:before="60" w:after="120"/>
        <w:rPr>
          <w:i/>
          <w:color w:val="434343"/>
          <w:sz w:val="24"/>
          <w:szCs w:val="24"/>
        </w:rPr>
      </w:pPr>
      <w:r>
        <w:rPr>
          <w:i/>
          <w:color w:val="434343"/>
          <w:sz w:val="24"/>
          <w:szCs w:val="24"/>
        </w:rPr>
        <w:t>Additional guidance</w:t>
      </w:r>
    </w:p>
    <w:p w14:paraId="00000063" w14:textId="77777777" w:rsidR="00B600F3" w:rsidRDefault="003C169B">
      <w:pPr>
        <w:numPr>
          <w:ilvl w:val="0"/>
          <w:numId w:val="2"/>
        </w:numPr>
        <w:spacing w:before="60"/>
        <w:rPr>
          <w:sz w:val="24"/>
          <w:szCs w:val="24"/>
        </w:rPr>
      </w:pPr>
      <w:r>
        <w:rPr>
          <w:sz w:val="24"/>
          <w:szCs w:val="24"/>
        </w:rPr>
        <w:t>TASO reserves the right, acting reasonably, to:</w:t>
      </w:r>
    </w:p>
    <w:p w14:paraId="00000064" w14:textId="77777777" w:rsidR="00B600F3" w:rsidRDefault="003C169B">
      <w:pPr>
        <w:numPr>
          <w:ilvl w:val="1"/>
          <w:numId w:val="2"/>
        </w:numPr>
        <w:rPr>
          <w:sz w:val="24"/>
          <w:szCs w:val="24"/>
        </w:rPr>
      </w:pPr>
      <w:r>
        <w:rPr>
          <w:sz w:val="24"/>
          <w:szCs w:val="24"/>
        </w:rPr>
        <w:t xml:space="preserve">Discontinue the open call in the absence of appropriate </w:t>
      </w:r>
      <w:proofErr w:type="gramStart"/>
      <w:r>
        <w:rPr>
          <w:sz w:val="24"/>
          <w:szCs w:val="24"/>
        </w:rPr>
        <w:t>submissions;</w:t>
      </w:r>
      <w:proofErr w:type="gramEnd"/>
      <w:r>
        <w:rPr>
          <w:sz w:val="24"/>
          <w:szCs w:val="24"/>
        </w:rPr>
        <w:t xml:space="preserve">  </w:t>
      </w:r>
    </w:p>
    <w:p w14:paraId="00000065" w14:textId="77777777" w:rsidR="00B600F3" w:rsidRDefault="003C169B">
      <w:pPr>
        <w:numPr>
          <w:ilvl w:val="1"/>
          <w:numId w:val="2"/>
        </w:numPr>
        <w:rPr>
          <w:sz w:val="24"/>
          <w:szCs w:val="24"/>
        </w:rPr>
      </w:pPr>
      <w:r>
        <w:rPr>
          <w:sz w:val="24"/>
          <w:szCs w:val="24"/>
        </w:rPr>
        <w:t xml:space="preserve">Change the timetable for the delivery of the project, and in such circumstances TASO will notify all applicants of any change by the fastest means </w:t>
      </w:r>
      <w:proofErr w:type="gramStart"/>
      <w:r>
        <w:rPr>
          <w:sz w:val="24"/>
          <w:szCs w:val="24"/>
        </w:rPr>
        <w:t>possible;</w:t>
      </w:r>
      <w:proofErr w:type="gramEnd"/>
    </w:p>
    <w:p w14:paraId="00000066" w14:textId="77777777" w:rsidR="00B600F3" w:rsidRDefault="003C169B">
      <w:pPr>
        <w:numPr>
          <w:ilvl w:val="1"/>
          <w:numId w:val="2"/>
        </w:numPr>
        <w:rPr>
          <w:sz w:val="24"/>
          <w:szCs w:val="24"/>
        </w:rPr>
      </w:pPr>
      <w:r>
        <w:rPr>
          <w:sz w:val="24"/>
          <w:szCs w:val="24"/>
        </w:rPr>
        <w:t xml:space="preserve">Terminate discussions with organisations which </w:t>
      </w:r>
      <w:proofErr w:type="gramStart"/>
      <w:r>
        <w:rPr>
          <w:sz w:val="24"/>
          <w:szCs w:val="24"/>
        </w:rPr>
        <w:t>apply;</w:t>
      </w:r>
      <w:proofErr w:type="gramEnd"/>
      <w:r>
        <w:rPr>
          <w:sz w:val="24"/>
          <w:szCs w:val="24"/>
        </w:rPr>
        <w:t xml:space="preserve"> </w:t>
      </w:r>
    </w:p>
    <w:p w14:paraId="00000067" w14:textId="77777777" w:rsidR="00B600F3" w:rsidRDefault="003C169B">
      <w:pPr>
        <w:numPr>
          <w:ilvl w:val="1"/>
          <w:numId w:val="2"/>
        </w:numPr>
        <w:rPr>
          <w:sz w:val="24"/>
          <w:szCs w:val="24"/>
        </w:rPr>
      </w:pPr>
      <w:r>
        <w:rPr>
          <w:sz w:val="24"/>
          <w:szCs w:val="24"/>
        </w:rPr>
        <w:t xml:space="preserve">Not to accept submissions at all as a result of this process. </w:t>
      </w:r>
    </w:p>
    <w:p w14:paraId="00000068" w14:textId="77777777" w:rsidR="00B600F3" w:rsidRDefault="003C169B">
      <w:pPr>
        <w:numPr>
          <w:ilvl w:val="0"/>
          <w:numId w:val="2"/>
        </w:numPr>
        <w:rPr>
          <w:sz w:val="24"/>
          <w:szCs w:val="24"/>
        </w:rPr>
      </w:pPr>
      <w:r>
        <w:rPr>
          <w:sz w:val="24"/>
          <w:szCs w:val="24"/>
        </w:rPr>
        <w:t>Under no circumstances shall TASO incur any liability in respect of any of these actions.</w:t>
      </w:r>
    </w:p>
    <w:p w14:paraId="00000069" w14:textId="77777777" w:rsidR="00B600F3" w:rsidRDefault="003C169B">
      <w:pPr>
        <w:numPr>
          <w:ilvl w:val="0"/>
          <w:numId w:val="2"/>
        </w:numPr>
        <w:rPr>
          <w:sz w:val="24"/>
          <w:szCs w:val="24"/>
        </w:rPr>
      </w:pPr>
      <w:r>
        <w:rPr>
          <w:sz w:val="24"/>
          <w:szCs w:val="24"/>
        </w:rPr>
        <w:t>No publicity regarding the project will be permitted until TASO has given express written consent to the relevant communication. No statements may be made to any part of the media regarding the nature of this open call, its contents or any proposals relating to it without the prior written consent of TASO.</w:t>
      </w:r>
    </w:p>
    <w:p w14:paraId="0000006A" w14:textId="77777777" w:rsidR="00B600F3" w:rsidRDefault="003C169B">
      <w:pPr>
        <w:numPr>
          <w:ilvl w:val="0"/>
          <w:numId w:val="2"/>
        </w:numPr>
        <w:rPr>
          <w:sz w:val="24"/>
          <w:szCs w:val="24"/>
        </w:rPr>
      </w:pPr>
      <w:r>
        <w:rPr>
          <w:sz w:val="24"/>
          <w:szCs w:val="24"/>
        </w:rPr>
        <w:t xml:space="preserve">TASO will not reimburse any costs incurred by organisations in connection with preparation of their submissions. </w:t>
      </w:r>
    </w:p>
    <w:p w14:paraId="0000006B" w14:textId="77777777" w:rsidR="00B600F3" w:rsidRDefault="003C169B">
      <w:pPr>
        <w:numPr>
          <w:ilvl w:val="0"/>
          <w:numId w:val="2"/>
        </w:numPr>
        <w:rPr>
          <w:sz w:val="24"/>
          <w:szCs w:val="24"/>
        </w:rPr>
      </w:pPr>
      <w:r>
        <w:rPr>
          <w:sz w:val="24"/>
          <w:szCs w:val="24"/>
        </w:rPr>
        <w:t xml:space="preserve">If you are unsure of the meaning of a question or anything in this call for </w:t>
      </w:r>
      <w:proofErr w:type="gramStart"/>
      <w:r>
        <w:rPr>
          <w:sz w:val="24"/>
          <w:szCs w:val="24"/>
        </w:rPr>
        <w:t>submissions</w:t>
      </w:r>
      <w:proofErr w:type="gramEnd"/>
      <w:r>
        <w:rPr>
          <w:sz w:val="24"/>
          <w:szCs w:val="24"/>
        </w:rPr>
        <w:t xml:space="preserve"> then it is your responsibility to ask TASO to clarify in writing via email.</w:t>
      </w:r>
    </w:p>
    <w:p w14:paraId="0000006C" w14:textId="77777777" w:rsidR="00B600F3" w:rsidRDefault="003C169B">
      <w:pPr>
        <w:numPr>
          <w:ilvl w:val="0"/>
          <w:numId w:val="2"/>
        </w:numPr>
        <w:rPr>
          <w:sz w:val="24"/>
          <w:szCs w:val="24"/>
        </w:rPr>
      </w:pPr>
      <w:r>
        <w:rPr>
          <w:sz w:val="24"/>
          <w:szCs w:val="24"/>
        </w:rPr>
        <w:t xml:space="preserve">TASO will aim to answer clarification questions within five (5) working </w:t>
      </w:r>
      <w:proofErr w:type="gramStart"/>
      <w:r>
        <w:rPr>
          <w:sz w:val="24"/>
          <w:szCs w:val="24"/>
        </w:rPr>
        <w:t>days, but</w:t>
      </w:r>
      <w:proofErr w:type="gramEnd"/>
      <w:r>
        <w:rPr>
          <w:sz w:val="24"/>
          <w:szCs w:val="24"/>
        </w:rPr>
        <w:t xml:space="preserve"> does not undertake to do so. TASO may also decline to answer a question if it deems the question to be inappropriate. If TASO is unable to answer a question, this will be communicated.</w:t>
      </w:r>
    </w:p>
    <w:p w14:paraId="0000006D" w14:textId="77777777" w:rsidR="00B600F3" w:rsidRDefault="00B600F3"/>
    <w:sectPr w:rsidR="00B600F3">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3429E" w14:textId="77777777" w:rsidR="003A76C5" w:rsidRDefault="003A76C5">
      <w:pPr>
        <w:spacing w:line="240" w:lineRule="auto"/>
      </w:pPr>
      <w:r>
        <w:separator/>
      </w:r>
    </w:p>
  </w:endnote>
  <w:endnote w:type="continuationSeparator" w:id="0">
    <w:p w14:paraId="21CA7CBC" w14:textId="77777777" w:rsidR="003A76C5" w:rsidRDefault="003A76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4A470" w14:textId="77777777" w:rsidR="003A76C5" w:rsidRDefault="003A76C5">
      <w:pPr>
        <w:spacing w:line="240" w:lineRule="auto"/>
      </w:pPr>
      <w:r>
        <w:separator/>
      </w:r>
    </w:p>
  </w:footnote>
  <w:footnote w:type="continuationSeparator" w:id="0">
    <w:p w14:paraId="3AF2ABC0" w14:textId="77777777" w:rsidR="003A76C5" w:rsidRDefault="003A76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E" w14:textId="77777777" w:rsidR="00B600F3" w:rsidRDefault="003C169B">
    <w:r>
      <w:rPr>
        <w:noProof/>
      </w:rPr>
      <w:drawing>
        <wp:anchor distT="0" distB="0" distL="114300" distR="114300" simplePos="0" relativeHeight="251658240" behindDoc="0" locked="0" layoutInCell="1" hidden="0" allowOverlap="1">
          <wp:simplePos x="0" y="0"/>
          <wp:positionH relativeFrom="column">
            <wp:posOffset>-676274</wp:posOffset>
          </wp:positionH>
          <wp:positionV relativeFrom="paragraph">
            <wp:posOffset>-390524</wp:posOffset>
          </wp:positionV>
          <wp:extent cx="2828925" cy="849886"/>
          <wp:effectExtent l="0" t="0" r="0" b="0"/>
          <wp:wrapSquare wrapText="bothSides" distT="0" distB="0" distL="114300" distR="114300"/>
          <wp:docPr id="26" name="image1.png" descr="A picture containing objec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object&#10;&#10;Description automatically generated"/>
                  <pic:cNvPicPr preferRelativeResize="0"/>
                </pic:nvPicPr>
                <pic:blipFill>
                  <a:blip r:embed="rId1"/>
                  <a:srcRect/>
                  <a:stretch>
                    <a:fillRect/>
                  </a:stretch>
                </pic:blipFill>
                <pic:spPr>
                  <a:xfrm>
                    <a:off x="0" y="0"/>
                    <a:ext cx="2828925" cy="849886"/>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55EF7"/>
    <w:multiLevelType w:val="multilevel"/>
    <w:tmpl w:val="D9ECCC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19C0718"/>
    <w:multiLevelType w:val="multilevel"/>
    <w:tmpl w:val="94AE82B8"/>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2AA77BC9"/>
    <w:multiLevelType w:val="multilevel"/>
    <w:tmpl w:val="38BE1F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6A55EAE"/>
    <w:multiLevelType w:val="multilevel"/>
    <w:tmpl w:val="27403D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EEB60C1"/>
    <w:multiLevelType w:val="multilevel"/>
    <w:tmpl w:val="2DD6BE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0F3"/>
    <w:rsid w:val="000A4DC4"/>
    <w:rsid w:val="003A76C5"/>
    <w:rsid w:val="003C169B"/>
    <w:rsid w:val="00B600F3"/>
    <w:rsid w:val="00B63B28"/>
    <w:rsid w:val="00DA5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D60595A"/>
  <w15:docId w15:val="{88DD2BF0-04BC-574B-878A-AADFE49D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6C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ED2C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link w:val="ListParagraphChar"/>
    <w:uiPriority w:val="34"/>
    <w:qFormat/>
    <w:rsid w:val="00C016C7"/>
    <w:pPr>
      <w:ind w:left="720"/>
      <w:contextualSpacing/>
    </w:pPr>
  </w:style>
  <w:style w:type="paragraph" w:styleId="NormalWeb">
    <w:name w:val="Normal (Web)"/>
    <w:basedOn w:val="Normal"/>
    <w:uiPriority w:val="99"/>
    <w:semiHidden/>
    <w:unhideWhenUsed/>
    <w:rsid w:val="00F976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163C7"/>
    <w:rPr>
      <w:color w:val="0563C1" w:themeColor="hyperlink"/>
      <w:u w:val="single"/>
    </w:rPr>
  </w:style>
  <w:style w:type="character" w:styleId="UnresolvedMention">
    <w:name w:val="Unresolved Mention"/>
    <w:basedOn w:val="DefaultParagraphFont"/>
    <w:uiPriority w:val="99"/>
    <w:rsid w:val="007163C7"/>
    <w:rPr>
      <w:color w:val="605E5C"/>
      <w:shd w:val="clear" w:color="auto" w:fill="E1DFDD"/>
    </w:rPr>
  </w:style>
  <w:style w:type="character" w:styleId="FollowedHyperlink">
    <w:name w:val="FollowedHyperlink"/>
    <w:basedOn w:val="DefaultParagraphFont"/>
    <w:uiPriority w:val="99"/>
    <w:semiHidden/>
    <w:unhideWhenUsed/>
    <w:rsid w:val="007163C7"/>
    <w:rPr>
      <w:color w:val="954F72" w:themeColor="followedHyperlink"/>
      <w:u w:val="single"/>
    </w:rPr>
  </w:style>
  <w:style w:type="character" w:customStyle="1" w:styleId="Heading2Char">
    <w:name w:val="Heading 2 Char"/>
    <w:basedOn w:val="DefaultParagraphFont"/>
    <w:link w:val="Heading2"/>
    <w:uiPriority w:val="9"/>
    <w:rsid w:val="00ED2C30"/>
    <w:rPr>
      <w:rFonts w:ascii="Times New Roman" w:eastAsia="Times New Roman" w:hAnsi="Times New Roman" w:cs="Times New Roman"/>
      <w:b/>
      <w:bCs/>
      <w:sz w:val="36"/>
      <w:szCs w:val="36"/>
      <w:lang w:eastAsia="en-GB"/>
    </w:rPr>
  </w:style>
  <w:style w:type="character" w:customStyle="1" w:styleId="normaltextrun">
    <w:name w:val="normaltextrun"/>
    <w:basedOn w:val="DefaultParagraphFont"/>
    <w:rsid w:val="00BA1693"/>
  </w:style>
  <w:style w:type="character" w:styleId="CommentReference">
    <w:name w:val="annotation reference"/>
    <w:basedOn w:val="DefaultParagraphFont"/>
    <w:uiPriority w:val="99"/>
    <w:semiHidden/>
    <w:unhideWhenUsed/>
    <w:rsid w:val="00E3189B"/>
    <w:rPr>
      <w:sz w:val="16"/>
      <w:szCs w:val="16"/>
    </w:rPr>
  </w:style>
  <w:style w:type="paragraph" w:styleId="CommentText">
    <w:name w:val="annotation text"/>
    <w:basedOn w:val="Normal"/>
    <w:link w:val="CommentTextChar"/>
    <w:uiPriority w:val="99"/>
    <w:unhideWhenUsed/>
    <w:rsid w:val="00E3189B"/>
    <w:pPr>
      <w:spacing w:line="240" w:lineRule="auto"/>
    </w:pPr>
    <w:rPr>
      <w:sz w:val="20"/>
      <w:szCs w:val="20"/>
    </w:rPr>
  </w:style>
  <w:style w:type="character" w:customStyle="1" w:styleId="CommentTextChar">
    <w:name w:val="Comment Text Char"/>
    <w:basedOn w:val="DefaultParagraphFont"/>
    <w:link w:val="CommentText"/>
    <w:uiPriority w:val="99"/>
    <w:rsid w:val="00E3189B"/>
    <w:rPr>
      <w:rFonts w:ascii="Arial" w:eastAsia="Arial"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E3189B"/>
    <w:rPr>
      <w:b/>
      <w:bCs/>
    </w:rPr>
  </w:style>
  <w:style w:type="character" w:customStyle="1" w:styleId="CommentSubjectChar">
    <w:name w:val="Comment Subject Char"/>
    <w:basedOn w:val="CommentTextChar"/>
    <w:link w:val="CommentSubject"/>
    <w:uiPriority w:val="99"/>
    <w:semiHidden/>
    <w:rsid w:val="00E3189B"/>
    <w:rPr>
      <w:rFonts w:ascii="Arial" w:eastAsia="Arial" w:hAnsi="Arial" w:cs="Arial"/>
      <w:b/>
      <w:bCs/>
      <w:sz w:val="20"/>
      <w:szCs w:val="20"/>
      <w:lang w:eastAsia="en-GB"/>
    </w:rPr>
  </w:style>
  <w:style w:type="paragraph" w:styleId="BalloonText">
    <w:name w:val="Balloon Text"/>
    <w:basedOn w:val="Normal"/>
    <w:link w:val="BalloonTextChar"/>
    <w:uiPriority w:val="99"/>
    <w:semiHidden/>
    <w:unhideWhenUsed/>
    <w:rsid w:val="00E3189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3189B"/>
    <w:rPr>
      <w:rFonts w:ascii="Times New Roman" w:eastAsia="Arial" w:hAnsi="Times New Roman" w:cs="Times New Roman"/>
      <w:sz w:val="18"/>
      <w:szCs w:val="18"/>
      <w:lang w:eastAsia="en-GB"/>
    </w:rPr>
  </w:style>
  <w:style w:type="paragraph" w:customStyle="1" w:styleId="paragraph">
    <w:name w:val="paragraph"/>
    <w:basedOn w:val="Normal"/>
    <w:rsid w:val="007164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716428"/>
  </w:style>
  <w:style w:type="paragraph" w:styleId="Header">
    <w:name w:val="header"/>
    <w:basedOn w:val="Normal"/>
    <w:link w:val="HeaderChar"/>
    <w:uiPriority w:val="99"/>
    <w:unhideWhenUsed/>
    <w:rsid w:val="00D85DA7"/>
    <w:pPr>
      <w:tabs>
        <w:tab w:val="center" w:pos="4513"/>
        <w:tab w:val="right" w:pos="9026"/>
      </w:tabs>
      <w:spacing w:line="240" w:lineRule="auto"/>
    </w:pPr>
  </w:style>
  <w:style w:type="character" w:customStyle="1" w:styleId="HeaderChar">
    <w:name w:val="Header Char"/>
    <w:basedOn w:val="DefaultParagraphFont"/>
    <w:link w:val="Header"/>
    <w:uiPriority w:val="99"/>
    <w:rsid w:val="00D85DA7"/>
    <w:rPr>
      <w:rFonts w:ascii="Arial" w:eastAsia="Arial" w:hAnsi="Arial" w:cs="Arial"/>
      <w:sz w:val="22"/>
      <w:szCs w:val="22"/>
      <w:lang w:eastAsia="en-GB"/>
    </w:rPr>
  </w:style>
  <w:style w:type="paragraph" w:styleId="Footer">
    <w:name w:val="footer"/>
    <w:basedOn w:val="Normal"/>
    <w:link w:val="FooterChar"/>
    <w:uiPriority w:val="99"/>
    <w:unhideWhenUsed/>
    <w:rsid w:val="00D85DA7"/>
    <w:pPr>
      <w:tabs>
        <w:tab w:val="center" w:pos="4513"/>
        <w:tab w:val="right" w:pos="9026"/>
      </w:tabs>
      <w:spacing w:line="240" w:lineRule="auto"/>
    </w:pPr>
  </w:style>
  <w:style w:type="character" w:customStyle="1" w:styleId="FooterChar">
    <w:name w:val="Footer Char"/>
    <w:basedOn w:val="DefaultParagraphFont"/>
    <w:link w:val="Footer"/>
    <w:uiPriority w:val="99"/>
    <w:rsid w:val="00D85DA7"/>
    <w:rPr>
      <w:rFonts w:ascii="Arial" w:eastAsia="Arial" w:hAnsi="Arial" w:cs="Arial"/>
      <w:sz w:val="22"/>
      <w:szCs w:val="22"/>
      <w:lang w:eastAsia="en-GB"/>
    </w:rPr>
  </w:style>
  <w:style w:type="table" w:styleId="TableGrid">
    <w:name w:val="Table Grid"/>
    <w:basedOn w:val="TableNormal"/>
    <w:uiPriority w:val="39"/>
    <w:rsid w:val="00674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735E2"/>
    <w:rPr>
      <w:rFonts w:ascii="Arial" w:eastAsia="Arial" w:hAnsi="Arial" w:cs="Arial"/>
      <w:sz w:val="22"/>
      <w:szCs w:val="22"/>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pBdr>
        <w:top w:val="nil"/>
        <w:left w:val="nil"/>
        <w:bottom w:val="nil"/>
        <w:right w:val="nil"/>
        <w:between w:val="nil"/>
      </w:pBdr>
    </w:pPr>
    <w:rPr>
      <w:color w:val="00000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gov.uk/guidance/what-works-network" TargetMode="External"/><Relationship Id="rId13" Type="http://schemas.openxmlformats.org/officeDocument/2006/relationships/hyperlink" Target="https://taso.org.uk/privacy-notice-for-the-online-teaching-learning-in-the-time-of-covid-projec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so.org.uk/privacy-notice-for-the-online-teaching-learning-in-the-time-of-covid-projec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fficeforstudents.org.uk/advice-and-guidance/promoting-equal-opportunities/evaluation/standards-of-evidence-and-evaluation-self-assessment-too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taso.org.uk/evidence/toolkit/what-is-causal-evidenc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MxxayMyW/Rwd/g08JFVTdQUUnQ==">AMUW2mVMo+od/iSVwm6STKDRO0niD2KN+B/KZh7pcO7z/R05qncDen21uI4In91raUspZKf3wIjCJFY/JfwOm/fbKHZ82SON46VLMV/7Es+zTYdR+GC2f1G7WZmBy/dwf92Kkpl82hiXD8yN8siZd2vAMFaP6WavXbOGqtTPL+zewa/skvPTeAGP11WFIClWWCSsMGcMX83JJkCX5ofqtlMPTwQqb19iV8YxYqb93ZktslZ9cePX53A=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1392</Words>
  <Characters>7937</Characters>
  <Application>Microsoft Office Word</Application>
  <DocSecurity>0</DocSecurity>
  <Lines>66</Lines>
  <Paragraphs>18</Paragraphs>
  <ScaleCrop>false</ScaleCrop>
  <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 Sherlock</dc:creator>
  <cp:lastModifiedBy>Emeribe, Blessing</cp:lastModifiedBy>
  <cp:revision>4</cp:revision>
  <dcterms:created xsi:type="dcterms:W3CDTF">2020-12-07T22:50:00Z</dcterms:created>
  <dcterms:modified xsi:type="dcterms:W3CDTF">2021-06-10T14:00:00Z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0x010100CFFB2645B4192C469F8306416C22C8A4</vt:lpwstr>
  </property>
</Properties>
</file>